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944" w:rsidRPr="00D77812" w:rsidRDefault="00E96944" w:rsidP="006D4C54">
      <w:pPr>
        <w:spacing w:after="0" w:line="320" w:lineRule="exact"/>
        <w:jc w:val="center"/>
        <w:rPr>
          <w:rFonts w:ascii="Arial" w:hAnsi="Arial" w:cs="Arial"/>
          <w:b/>
          <w:bCs/>
          <w:sz w:val="28"/>
          <w:szCs w:val="28"/>
        </w:rPr>
      </w:pPr>
      <w:r w:rsidRPr="00D77812">
        <w:rPr>
          <w:rFonts w:ascii="Arial" w:hAnsi="Arial" w:cs="Arial"/>
          <w:b/>
          <w:bCs/>
          <w:sz w:val="28"/>
          <w:szCs w:val="28"/>
        </w:rPr>
        <w:t>PARECER JURÍDICO</w:t>
      </w:r>
    </w:p>
    <w:p w:rsidR="00E96944" w:rsidRPr="00D77812" w:rsidRDefault="00E96944" w:rsidP="006D4C54">
      <w:pPr>
        <w:spacing w:after="0" w:line="320" w:lineRule="exact"/>
        <w:jc w:val="both"/>
        <w:rPr>
          <w:rFonts w:ascii="Arial" w:hAnsi="Arial" w:cs="Arial"/>
        </w:rPr>
      </w:pPr>
    </w:p>
    <w:p w:rsidR="00E96944" w:rsidRPr="00D77812" w:rsidRDefault="00E96944" w:rsidP="006D4C54">
      <w:pPr>
        <w:spacing w:after="0" w:line="320" w:lineRule="exact"/>
        <w:jc w:val="both"/>
        <w:rPr>
          <w:rFonts w:ascii="Arial" w:hAnsi="Arial" w:cs="Arial"/>
          <w:b/>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 xml:space="preserve">Consulta-nos a Assufrgs sobre os aspectos fático-jurídicos da flexibilização da jornada de trabalho na UFRGS a partir da Portaria nº 3183, de 12/04/2017.  </w:t>
      </w:r>
    </w:p>
    <w:p w:rsidR="00E96944" w:rsidRPr="00D77812" w:rsidRDefault="00E96944" w:rsidP="004131F0">
      <w:pPr>
        <w:spacing w:after="0" w:line="360" w:lineRule="auto"/>
        <w:jc w:val="both"/>
        <w:rPr>
          <w:rFonts w:ascii="Arial" w:hAnsi="Arial" w:cs="Arial"/>
          <w:b/>
        </w:rPr>
      </w:pPr>
    </w:p>
    <w:p w:rsidR="00E96944" w:rsidRPr="00D77812" w:rsidRDefault="00E96944" w:rsidP="004131F0">
      <w:pPr>
        <w:spacing w:after="0" w:line="360" w:lineRule="auto"/>
        <w:jc w:val="both"/>
        <w:rPr>
          <w:rFonts w:ascii="Arial" w:hAnsi="Arial" w:cs="Arial"/>
          <w:b/>
        </w:rPr>
      </w:pPr>
      <w:r w:rsidRPr="00D77812">
        <w:rPr>
          <w:rFonts w:ascii="Arial" w:hAnsi="Arial" w:cs="Arial"/>
          <w:b/>
        </w:rPr>
        <w:t>1) HISTÓRICO</w:t>
      </w:r>
    </w:p>
    <w:p w:rsidR="00E96944" w:rsidRPr="00D77812" w:rsidRDefault="00E96944" w:rsidP="004131F0">
      <w:pPr>
        <w:spacing w:after="0" w:line="360" w:lineRule="auto"/>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A flexibilização da jornada de trabalho foi instituída, formalmente, a partir da Decisão n° 432/2015 pelo Conselho Universitário da Universidade Federal do Rio Grande do Sul em 27/11/2015. Tal ato aprova o conjunto normativo para flexibilização da jornada de trabalho de servidores técnico-administrativos em educação do quadro permanente desta universidade que dispõe sobre regras e procedimentos que visam dar concretude ao disposto no Decreto 1.590/95.</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Em seu art. 4°, determina a criação da Comissão de Flexibilização, órgão destinado ao assessoramento do Reitor na decisão de autorização para implementação e/ou manutenção da jornada de trabalho flexibilizada.</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Em 15/12/2015, o Reitor desta Universidade publica a Portaria 9815/15, que visa regulamentar a adoção da flexibilização e que em seus 12 artigos regulamenta de forma mais detalhada os critérios para adoção da jornada, definindo conceitos utilizados pelas normas já mencionadas, atribuindo competências para sua realização e designando a Comissão de Flexibilização.</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Passado pouco mais de dois meses é publicada uma nova Portaria, que altera a anterior e relaciona um conjunto de documentos necessários para integrar os planos de trabalhos das unidades da UFRGS. A Portaria 1479, de 29 de fevereiro de 2016 determina, por exemplo, a necessidade de preenchimento do rol de documentos anexados (formulários, estudo de viabilidade, etc.) como condição do pedido encaminhado à chefia imediata.</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 xml:space="preserve">Após 13 meses da vigência da mencionada Portaria, a Reitoria novamente regulamenta a implantação da flexibilização através da publicação da Portaria n° 3183, de 12/04/2017, que revoga as duas portarias anteriores e altera o conjunto normativo interno que dispõe sobre a jornada diferenciada expressada no Decreto 1.590/95, de forma a impedir que a maioria dos servidores da Universidade tenha acesso à flexibilização, afetando inclusive os atuais setores flexibilizados. </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O art. 2° da Portaria 3183 demonstra que a intenção da Administração é, no mínimo, limitar a consolidação da flexibilização quando diz que “</w:t>
      </w:r>
      <w:r w:rsidRPr="00D77812">
        <w:rPr>
          <w:rFonts w:ascii="Arial" w:hAnsi="Arial" w:cs="Arial"/>
          <w:i/>
        </w:rPr>
        <w:t>A flexibilização da jornada de trabalho constitui medida excepcional...</w:t>
      </w:r>
      <w:r w:rsidRPr="00D77812">
        <w:rPr>
          <w:rFonts w:ascii="Arial" w:hAnsi="Arial" w:cs="Arial"/>
        </w:rPr>
        <w:t>”, não encontrando amparo no RJU ou no decreto 1.590.</w:t>
      </w: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Passemos à análise.</w:t>
      </w:r>
    </w:p>
    <w:p w:rsidR="00E96944" w:rsidRPr="00D77812" w:rsidRDefault="00E96944" w:rsidP="004131F0">
      <w:pPr>
        <w:spacing w:after="0" w:line="360" w:lineRule="auto"/>
        <w:ind w:firstLine="1418"/>
        <w:jc w:val="both"/>
        <w:rPr>
          <w:rFonts w:ascii="Arial" w:hAnsi="Arial" w:cs="Arial"/>
        </w:rPr>
      </w:pPr>
    </w:p>
    <w:p w:rsidR="00E96944" w:rsidRPr="00D77812" w:rsidRDefault="00E96944" w:rsidP="004131F0">
      <w:pPr>
        <w:spacing w:after="0" w:line="360" w:lineRule="auto"/>
        <w:jc w:val="both"/>
        <w:rPr>
          <w:rFonts w:ascii="Arial" w:hAnsi="Arial" w:cs="Arial"/>
          <w:b/>
        </w:rPr>
      </w:pPr>
      <w:r w:rsidRPr="00D77812">
        <w:rPr>
          <w:rFonts w:ascii="Arial" w:hAnsi="Arial" w:cs="Arial"/>
          <w:b/>
        </w:rPr>
        <w:t>2) NOÇÕES E CONCEITOS BÁSICOS</w:t>
      </w:r>
    </w:p>
    <w:p w:rsidR="00E96944" w:rsidRPr="00D77812" w:rsidRDefault="00E96944" w:rsidP="004131F0">
      <w:pPr>
        <w:spacing w:after="0" w:line="360" w:lineRule="auto"/>
        <w:jc w:val="both"/>
        <w:rPr>
          <w:rFonts w:ascii="Arial" w:hAnsi="Arial" w:cs="Arial"/>
          <w:b/>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Tratando o presente parecer de analisar a edição de nova Portaria por parte da Reitoria em face da Decisão do CONSUN, cabe, inicialmente, verificar que espécies de atos administrativos estamos a investigar.</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Os atos administrativos podem ser classificados pela doutrina, quanto ao seu conteúdo, como Normativos ou Ordinatórios. Os primeiros são aqueles que disciplinam, no âmbito da Administração, determinadas situações jurídicas, criando ou modificando direitos e seus efeitos. Os últimos, por conseguinte, são aqueles que põem em execução os primeiros, dentro de seus limites.</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No âmbito da doutrina, JOSÉ CRETELLA JÚNIOR conceitua “Portaria” como “</w:t>
      </w:r>
      <w:r w:rsidRPr="00D77812">
        <w:rPr>
          <w:rFonts w:ascii="Arial" w:hAnsi="Arial" w:cs="Arial"/>
          <w:i/>
        </w:rPr>
        <w:t>determinação ou ordem, baixada por agente administrativo categorizado, objetivando providências oportunas e convenientes para o bom andamento do serviço público</w:t>
      </w:r>
      <w:r w:rsidRPr="00D77812">
        <w:rPr>
          <w:rFonts w:ascii="Arial" w:hAnsi="Arial" w:cs="Arial"/>
        </w:rPr>
        <w:t xml:space="preserve">.” </w:t>
      </w:r>
      <w:r w:rsidRPr="00D77812">
        <w:rPr>
          <w:rStyle w:val="FootnoteReference"/>
          <w:rFonts w:ascii="Arial" w:hAnsi="Arial" w:cs="Arial"/>
        </w:rPr>
        <w:footnoteReference w:id="1"/>
      </w:r>
    </w:p>
    <w:p w:rsidR="00E96944" w:rsidRPr="00D77812" w:rsidRDefault="00E96944" w:rsidP="006D4C54">
      <w:pPr>
        <w:spacing w:after="0" w:line="320" w:lineRule="exact"/>
        <w:jc w:val="both"/>
        <w:rPr>
          <w:rFonts w:ascii="Arial" w:hAnsi="Arial" w:cs="Arial"/>
          <w:b/>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 xml:space="preserve">Pode-se, então, traçar um paralelo entre os atos administrativos e os atos legislativos que todos conhecem. </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Nesse sentido, a Decisão do CONSUN assemelha-se à lei em sentido estrito, que cria ou modifica direitos no plano material. A Portaria, nessa hipótese, seria o Decreto do executivo, que regulamenta o exercício dos direitos criados pela lei. Ainda nessa ordem de analogia, o CONSUN seria o Parlamento, enquanto a Reitoria seria o Executivo.</w:t>
      </w:r>
    </w:p>
    <w:p w:rsidR="00E96944" w:rsidRPr="00D77812" w:rsidRDefault="00E96944" w:rsidP="006D4C54">
      <w:pPr>
        <w:spacing w:after="0" w:line="320" w:lineRule="exact"/>
        <w:jc w:val="both"/>
        <w:rPr>
          <w:rFonts w:ascii="Arial" w:hAnsi="Arial" w:cs="Arial"/>
          <w:b/>
        </w:rPr>
      </w:pPr>
    </w:p>
    <w:p w:rsidR="00E96944" w:rsidRPr="00D77812" w:rsidRDefault="00E96944" w:rsidP="004131F0">
      <w:pPr>
        <w:spacing w:after="0" w:line="360" w:lineRule="auto"/>
        <w:jc w:val="both"/>
        <w:rPr>
          <w:rFonts w:ascii="Arial" w:hAnsi="Arial" w:cs="Arial"/>
          <w:b/>
        </w:rPr>
      </w:pPr>
    </w:p>
    <w:p w:rsidR="00E96944" w:rsidRPr="00D77812" w:rsidRDefault="00E96944" w:rsidP="004131F0">
      <w:pPr>
        <w:spacing w:after="0" w:line="360" w:lineRule="auto"/>
        <w:jc w:val="both"/>
        <w:rPr>
          <w:rFonts w:ascii="Arial" w:hAnsi="Arial" w:cs="Arial"/>
          <w:b/>
        </w:rPr>
      </w:pPr>
      <w:r w:rsidRPr="00D77812">
        <w:rPr>
          <w:rFonts w:ascii="Arial" w:hAnsi="Arial" w:cs="Arial"/>
          <w:b/>
        </w:rPr>
        <w:t>3) DO NECESSÁRIO RESPEITO ÀS COMPETÊNCIAS E HIERARQUIAS ESTATUTÁRIAS. DECORRÊNCIA DO PRINCÍPIO DA LEGALIDADE.</w:t>
      </w:r>
    </w:p>
    <w:p w:rsidR="00E96944" w:rsidRPr="00D77812" w:rsidRDefault="00E96944" w:rsidP="004131F0">
      <w:pPr>
        <w:spacing w:after="0" w:line="360" w:lineRule="auto"/>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 xml:space="preserve">No caso em análise, portanto, a Portaria do Reitor deve passar pelo exame dos requisitos de validade do ato administrativo quanto à forma e ao conteúdo. </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 xml:space="preserve">Ora, a administração, como pessoa jurídica, compõe-se de órgãos através dos quais se manifesta e opera. Somente poderá ditar determinado ato aquele órgão da Administração que tenha para si atribuída a competência. </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Competência administrativa, conforme a doutrina, é “</w:t>
      </w:r>
      <w:r w:rsidRPr="00D77812">
        <w:rPr>
          <w:rFonts w:ascii="Arial" w:hAnsi="Arial" w:cs="Arial"/>
          <w:i/>
        </w:rPr>
        <w:t>la medida de la potestad que corresponde a cada órgano</w:t>
      </w:r>
      <w:r w:rsidRPr="00D77812">
        <w:rPr>
          <w:rFonts w:ascii="Arial" w:hAnsi="Arial" w:cs="Arial"/>
        </w:rPr>
        <w:t>”.</w:t>
      </w:r>
      <w:r w:rsidRPr="00D77812">
        <w:rPr>
          <w:rStyle w:val="FootnoteReference"/>
          <w:rFonts w:ascii="Arial" w:hAnsi="Arial" w:cs="Arial"/>
        </w:rPr>
        <w:footnoteReference w:id="2"/>
      </w:r>
      <w:r w:rsidRPr="00D77812">
        <w:rPr>
          <w:rFonts w:ascii="Arial" w:hAnsi="Arial" w:cs="Arial"/>
        </w:rPr>
        <w:t xml:space="preserve"> Mas não basta que o ato seja emanado de órgão competente, mas que este limite-se à sua competência.</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Com efeito, segundo CELSO ANTONIO BANDEIRA DE MELO, “</w:t>
      </w:r>
      <w:r w:rsidRPr="00D77812">
        <w:rPr>
          <w:rFonts w:ascii="Arial" w:hAnsi="Arial" w:cs="Arial"/>
          <w:i/>
        </w:rPr>
        <w:t xml:space="preserve">o ato administrativo é expedido no interior de uma hierarquia, de sorte que ou é superior ou é inferior a outro ato administrativo. Por isso, </w:t>
      </w:r>
      <w:r w:rsidRPr="00D77812">
        <w:rPr>
          <w:rFonts w:ascii="Arial" w:hAnsi="Arial" w:cs="Arial"/>
          <w:b/>
          <w:i/>
        </w:rPr>
        <w:t>os atos administrativos podem estar adstritos aos limites estabelecidos por outros atos administrativos de hierarquia mais elevada</w:t>
      </w:r>
      <w:r w:rsidRPr="00D77812">
        <w:rPr>
          <w:rFonts w:ascii="Arial" w:hAnsi="Arial" w:cs="Arial"/>
        </w:rPr>
        <w:t>”.</w:t>
      </w:r>
      <w:r w:rsidRPr="00D77812">
        <w:rPr>
          <w:rStyle w:val="FootnoteReference"/>
          <w:rFonts w:ascii="Arial" w:hAnsi="Arial" w:cs="Arial"/>
        </w:rPr>
        <w:footnoteReference w:id="3"/>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 xml:space="preserve">Nessa linha, podemos aferir as competências dos órgãos internos da Universidade mediante análise de seus atos constitutivos. Sobre as competências dos diversos órgãos da UFRGS, diz o seu </w:t>
      </w:r>
      <w:r w:rsidRPr="00D77812">
        <w:rPr>
          <w:rFonts w:ascii="Arial" w:hAnsi="Arial" w:cs="Arial"/>
          <w:b/>
        </w:rPr>
        <w:t>Estatuto</w:t>
      </w:r>
      <w:r w:rsidRPr="00D77812">
        <w:rPr>
          <w:rFonts w:ascii="Arial" w:hAnsi="Arial" w:cs="Arial"/>
        </w:rPr>
        <w:t xml:space="preserve"> que:</w:t>
      </w:r>
    </w:p>
    <w:p w:rsidR="00E96944" w:rsidRPr="00D77812" w:rsidRDefault="00E96944" w:rsidP="004131F0">
      <w:pPr>
        <w:spacing w:after="0" w:line="240" w:lineRule="auto"/>
        <w:jc w:val="both"/>
        <w:rPr>
          <w:rFonts w:ascii="Arial" w:hAnsi="Arial" w:cs="Arial"/>
        </w:rPr>
      </w:pPr>
    </w:p>
    <w:p w:rsidR="00E96944" w:rsidRPr="00D77812" w:rsidRDefault="00E96944" w:rsidP="004131F0">
      <w:pPr>
        <w:spacing w:after="0" w:line="240" w:lineRule="auto"/>
        <w:ind w:left="1418"/>
        <w:jc w:val="both"/>
        <w:rPr>
          <w:rFonts w:ascii="Arial" w:hAnsi="Arial" w:cs="Arial"/>
          <w:sz w:val="20"/>
        </w:rPr>
      </w:pPr>
      <w:r w:rsidRPr="00D77812">
        <w:rPr>
          <w:rFonts w:ascii="Arial" w:hAnsi="Arial" w:cs="Arial"/>
          <w:sz w:val="20"/>
        </w:rPr>
        <w:t>Art. 12 - Compete ao Conselho Universitário:</w:t>
      </w:r>
    </w:p>
    <w:p w:rsidR="00E96944" w:rsidRPr="00D77812" w:rsidRDefault="00E96944" w:rsidP="004131F0">
      <w:pPr>
        <w:spacing w:after="0" w:line="240" w:lineRule="auto"/>
        <w:ind w:left="1418"/>
        <w:jc w:val="both"/>
        <w:rPr>
          <w:rFonts w:ascii="Arial" w:hAnsi="Arial" w:cs="Arial"/>
          <w:sz w:val="20"/>
        </w:rPr>
      </w:pPr>
      <w:r w:rsidRPr="00D77812">
        <w:rPr>
          <w:rFonts w:ascii="Arial" w:hAnsi="Arial" w:cs="Arial"/>
          <w:sz w:val="20"/>
        </w:rPr>
        <w:t>(...)</w:t>
      </w:r>
    </w:p>
    <w:p w:rsidR="00E96944" w:rsidRPr="00D77812" w:rsidRDefault="00E96944" w:rsidP="004131F0">
      <w:pPr>
        <w:spacing w:after="0" w:line="240" w:lineRule="auto"/>
        <w:ind w:left="1418"/>
        <w:jc w:val="both"/>
        <w:rPr>
          <w:rFonts w:ascii="Arial" w:hAnsi="Arial" w:cs="Arial"/>
          <w:sz w:val="20"/>
        </w:rPr>
      </w:pPr>
      <w:r w:rsidRPr="00D77812">
        <w:rPr>
          <w:rFonts w:ascii="Arial" w:hAnsi="Arial" w:cs="Arial"/>
          <w:sz w:val="20"/>
        </w:rPr>
        <w:t xml:space="preserve">XII - </w:t>
      </w:r>
      <w:r w:rsidRPr="00D77812">
        <w:rPr>
          <w:rFonts w:ascii="Arial" w:hAnsi="Arial" w:cs="Arial"/>
          <w:b/>
          <w:sz w:val="20"/>
        </w:rPr>
        <w:t>aprovar as normas disciplinadoras quanto</w:t>
      </w:r>
      <w:r w:rsidRPr="00D77812">
        <w:rPr>
          <w:rFonts w:ascii="Arial" w:hAnsi="Arial" w:cs="Arial"/>
          <w:sz w:val="20"/>
        </w:rPr>
        <w:t xml:space="preserve"> ao dimensionamento, lotação, ingresso, </w:t>
      </w:r>
      <w:r w:rsidRPr="00D77812">
        <w:rPr>
          <w:rFonts w:ascii="Arial" w:hAnsi="Arial" w:cs="Arial"/>
          <w:b/>
          <w:sz w:val="20"/>
        </w:rPr>
        <w:t>regime de trabalho</w:t>
      </w:r>
      <w:r w:rsidRPr="00D77812">
        <w:rPr>
          <w:rFonts w:ascii="Arial" w:hAnsi="Arial" w:cs="Arial"/>
          <w:sz w:val="20"/>
        </w:rPr>
        <w:t>, progressão funcional, avaliação e qualificação dos servidores da Universidade;</w:t>
      </w:r>
    </w:p>
    <w:p w:rsidR="00E96944" w:rsidRPr="00D77812" w:rsidRDefault="00E96944" w:rsidP="004131F0">
      <w:pPr>
        <w:spacing w:after="0" w:line="240" w:lineRule="auto"/>
        <w:ind w:left="1418"/>
        <w:jc w:val="both"/>
        <w:rPr>
          <w:rFonts w:ascii="Arial" w:hAnsi="Arial" w:cs="Arial"/>
        </w:rPr>
      </w:pPr>
    </w:p>
    <w:p w:rsidR="00E96944" w:rsidRPr="00D77812" w:rsidRDefault="00E96944" w:rsidP="004131F0">
      <w:pPr>
        <w:spacing w:after="0" w:line="240" w:lineRule="auto"/>
        <w:ind w:left="1418"/>
        <w:jc w:val="both"/>
        <w:rPr>
          <w:rFonts w:ascii="Arial" w:hAnsi="Arial" w:cs="Arial"/>
          <w:sz w:val="20"/>
        </w:rPr>
      </w:pPr>
      <w:r w:rsidRPr="00D77812">
        <w:rPr>
          <w:rFonts w:ascii="Arial" w:hAnsi="Arial" w:cs="Arial"/>
          <w:sz w:val="20"/>
        </w:rPr>
        <w:t>Art. 25 - Compete ao Reitor:</w:t>
      </w:r>
    </w:p>
    <w:p w:rsidR="00E96944" w:rsidRPr="00D77812" w:rsidRDefault="00E96944" w:rsidP="004131F0">
      <w:pPr>
        <w:spacing w:after="0" w:line="240" w:lineRule="auto"/>
        <w:ind w:left="1418"/>
        <w:jc w:val="both"/>
        <w:rPr>
          <w:rFonts w:ascii="Arial" w:hAnsi="Arial" w:cs="Arial"/>
          <w:sz w:val="20"/>
        </w:rPr>
      </w:pPr>
      <w:r w:rsidRPr="00D77812">
        <w:rPr>
          <w:rFonts w:ascii="Arial" w:hAnsi="Arial" w:cs="Arial"/>
          <w:sz w:val="20"/>
        </w:rPr>
        <w:t>(...)</w:t>
      </w:r>
    </w:p>
    <w:p w:rsidR="00E96944" w:rsidRPr="00D77812" w:rsidRDefault="00E96944" w:rsidP="004131F0">
      <w:pPr>
        <w:spacing w:after="0" w:line="240" w:lineRule="auto"/>
        <w:ind w:left="1418"/>
        <w:jc w:val="both"/>
        <w:rPr>
          <w:rFonts w:ascii="Arial" w:hAnsi="Arial" w:cs="Arial"/>
          <w:sz w:val="20"/>
        </w:rPr>
      </w:pPr>
      <w:r w:rsidRPr="00D77812">
        <w:rPr>
          <w:rFonts w:ascii="Arial" w:hAnsi="Arial" w:cs="Arial"/>
          <w:b/>
          <w:sz w:val="20"/>
        </w:rPr>
        <w:t>VIII - cumprir e fazer cumprir as decisões do Conselho Universitário</w:t>
      </w:r>
      <w:r w:rsidRPr="00D77812">
        <w:rPr>
          <w:rFonts w:ascii="Arial" w:hAnsi="Arial" w:cs="Arial"/>
          <w:sz w:val="20"/>
        </w:rPr>
        <w:t xml:space="preserve"> e do Conselho de Ensino, Pesquisa e Extensão;</w:t>
      </w:r>
    </w:p>
    <w:p w:rsidR="00E96944" w:rsidRPr="00D77812" w:rsidRDefault="00E96944" w:rsidP="004131F0">
      <w:pPr>
        <w:spacing w:after="0" w:line="240" w:lineRule="auto"/>
        <w:ind w:left="1418"/>
        <w:jc w:val="both"/>
        <w:rPr>
          <w:rFonts w:ascii="Arial" w:hAnsi="Arial" w:cs="Arial"/>
          <w:sz w:val="20"/>
        </w:rPr>
      </w:pPr>
      <w:r w:rsidRPr="00D77812">
        <w:rPr>
          <w:rFonts w:ascii="Arial" w:hAnsi="Arial" w:cs="Arial"/>
          <w:sz w:val="20"/>
        </w:rPr>
        <w:t>(...)</w:t>
      </w:r>
    </w:p>
    <w:p w:rsidR="00E96944" w:rsidRPr="00D77812" w:rsidRDefault="00E96944" w:rsidP="004131F0">
      <w:pPr>
        <w:spacing w:after="0" w:line="240" w:lineRule="auto"/>
        <w:ind w:left="1418"/>
        <w:jc w:val="both"/>
        <w:rPr>
          <w:rFonts w:ascii="Arial" w:hAnsi="Arial" w:cs="Arial"/>
          <w:sz w:val="20"/>
        </w:rPr>
      </w:pPr>
      <w:r w:rsidRPr="00D77812">
        <w:rPr>
          <w:rFonts w:ascii="Arial" w:hAnsi="Arial" w:cs="Arial"/>
          <w:sz w:val="20"/>
        </w:rPr>
        <w:t>IX - exercer as atribuições que emanam da lei, deste Estatuto e do Regimento Geral da Universidade;</w:t>
      </w:r>
    </w:p>
    <w:p w:rsidR="00E96944" w:rsidRPr="00D77812" w:rsidRDefault="00E96944" w:rsidP="004131F0">
      <w:pPr>
        <w:spacing w:after="0" w:line="240" w:lineRule="auto"/>
        <w:ind w:left="1418"/>
        <w:jc w:val="both"/>
        <w:rPr>
          <w:rFonts w:ascii="Arial" w:hAnsi="Arial" w:cs="Arial"/>
          <w:sz w:val="20"/>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Nessa linha, podemos aferir que existe uma inequívoca “hierarquia” dos atos administrativos internos da Universidade. O Conselho Universitário (CONSUN) edita seus atos normativos (Decisões, Resoluções, etc.) e a Reitoria os cumpre, ambos dentro de suas competências.</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i/>
        </w:rPr>
      </w:pPr>
      <w:r w:rsidRPr="00D77812">
        <w:rPr>
          <w:rFonts w:ascii="Arial" w:hAnsi="Arial" w:cs="Arial"/>
        </w:rPr>
        <w:t xml:space="preserve">Nessa linha de argumentação, cabe aqui trazer à tona o necessário dever de observância da legalidade pela Administração. Nossa Constituição positivou o referido preceito no art. </w:t>
      </w:r>
      <w:smartTag w:uri="urn:schemas-microsoft-com:office:smarttags" w:element="metricconverter">
        <w:smartTagPr>
          <w:attr w:name="ProductID" w:val="37, in"/>
        </w:smartTagPr>
        <w:r w:rsidRPr="00D77812">
          <w:rPr>
            <w:rFonts w:ascii="Arial" w:hAnsi="Arial" w:cs="Arial"/>
          </w:rPr>
          <w:t xml:space="preserve">37, </w:t>
        </w:r>
        <w:r w:rsidRPr="00D77812">
          <w:rPr>
            <w:rFonts w:ascii="Arial" w:hAnsi="Arial" w:cs="Arial"/>
            <w:i/>
          </w:rPr>
          <w:t>in</w:t>
        </w:r>
      </w:smartTag>
      <w:r w:rsidRPr="00D77812">
        <w:rPr>
          <w:rFonts w:ascii="Arial" w:hAnsi="Arial" w:cs="Arial"/>
          <w:i/>
        </w:rPr>
        <w:t xml:space="preserve"> verbis:</w:t>
      </w:r>
    </w:p>
    <w:p w:rsidR="00E96944" w:rsidRPr="00D77812" w:rsidRDefault="00E96944" w:rsidP="004131F0">
      <w:pPr>
        <w:spacing w:after="0" w:line="320" w:lineRule="exact"/>
        <w:ind w:firstLine="1418"/>
        <w:jc w:val="both"/>
        <w:rPr>
          <w:rFonts w:ascii="Arial" w:hAnsi="Arial" w:cs="Arial"/>
        </w:rPr>
      </w:pPr>
    </w:p>
    <w:p w:rsidR="00E96944" w:rsidRPr="00D77812" w:rsidRDefault="00E96944" w:rsidP="00715B42">
      <w:pPr>
        <w:spacing w:after="0" w:line="240" w:lineRule="auto"/>
        <w:ind w:left="1418"/>
        <w:jc w:val="both"/>
        <w:rPr>
          <w:rFonts w:ascii="Arial" w:hAnsi="Arial" w:cs="Arial"/>
          <w:sz w:val="20"/>
        </w:rPr>
      </w:pPr>
      <w:r w:rsidRPr="00D77812">
        <w:rPr>
          <w:rFonts w:ascii="Arial" w:hAnsi="Arial" w:cs="Arial"/>
          <w:sz w:val="20"/>
        </w:rPr>
        <w:t xml:space="preserve">“Art. </w:t>
      </w:r>
      <w:smartTag w:uri="urn:schemas-microsoft-com:office:smarttags" w:element="metricconverter">
        <w:smartTagPr>
          <w:attr w:name="ProductID" w:val="37. A"/>
        </w:smartTagPr>
        <w:r w:rsidRPr="00D77812">
          <w:rPr>
            <w:rFonts w:ascii="Arial" w:hAnsi="Arial" w:cs="Arial"/>
            <w:sz w:val="20"/>
          </w:rPr>
          <w:t>37. A</w:t>
        </w:r>
      </w:smartTag>
      <w:r w:rsidRPr="00D77812">
        <w:rPr>
          <w:rFonts w:ascii="Arial" w:hAnsi="Arial" w:cs="Arial"/>
          <w:sz w:val="20"/>
        </w:rPr>
        <w:t xml:space="preserve"> administração pública direta e indireta de qualquer dos Poderes da União, dos Estados, do Distrito Federal e dos Municípios obedecerá aos </w:t>
      </w:r>
      <w:r w:rsidRPr="00D77812">
        <w:rPr>
          <w:rFonts w:ascii="Arial" w:hAnsi="Arial" w:cs="Arial"/>
          <w:b/>
          <w:sz w:val="20"/>
        </w:rPr>
        <w:t>princípios de legalidade</w:t>
      </w:r>
      <w:r w:rsidRPr="00D77812">
        <w:rPr>
          <w:rFonts w:ascii="Arial" w:hAnsi="Arial" w:cs="Arial"/>
          <w:sz w:val="20"/>
        </w:rPr>
        <w:t>, impessoalidade, moralidade, publicidade e eficiência e, também, ao seguinte (...)”</w:t>
      </w:r>
    </w:p>
    <w:p w:rsidR="00E96944" w:rsidRPr="00D77812" w:rsidRDefault="00E96944" w:rsidP="004131F0">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 xml:space="preserve">Mas em que consiste o princípio da legalidade? </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CELSO ANTÔNIO BANDEIRA DE MELLO, em sua obra Curso de Direito Administrativo, define da seguinte forma a legalidade.</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2E1D68">
      <w:pPr>
        <w:spacing w:after="0" w:line="240" w:lineRule="auto"/>
        <w:ind w:left="1418"/>
        <w:jc w:val="both"/>
        <w:rPr>
          <w:rFonts w:ascii="Arial" w:hAnsi="Arial" w:cs="Arial"/>
        </w:rPr>
      </w:pPr>
      <w:r w:rsidRPr="00D77812">
        <w:rPr>
          <w:rFonts w:ascii="Arial" w:hAnsi="Arial" w:cs="Arial"/>
          <w:sz w:val="20"/>
        </w:rPr>
        <w:t xml:space="preserve">“[...] o [princípio] da legalidade é especifico do Estado de Direito, é justamente aquele que o qualifica e que lhe dá a identidade própria. Por isso mesmo é o princípio basilar do regime jurídico-administrativo, já que o Direito Administrativo (pelo menos aquilo que como tal se concebe) nasce com o Estado de Direito: é a consequência dele. É o fruto da submissão do Estado à lei. </w:t>
      </w:r>
      <w:r w:rsidRPr="00D77812">
        <w:rPr>
          <w:rFonts w:ascii="Arial" w:hAnsi="Arial" w:cs="Arial"/>
          <w:b/>
          <w:sz w:val="20"/>
        </w:rPr>
        <w:t>É, em suma, a consagração da ideia de que</w:t>
      </w:r>
      <w:r w:rsidRPr="00D77812">
        <w:rPr>
          <w:rFonts w:ascii="Arial" w:hAnsi="Arial" w:cs="Arial"/>
          <w:sz w:val="20"/>
        </w:rPr>
        <w:t xml:space="preserve"> </w:t>
      </w:r>
      <w:r w:rsidRPr="00D77812">
        <w:rPr>
          <w:rFonts w:ascii="Arial" w:hAnsi="Arial" w:cs="Arial"/>
          <w:b/>
          <w:sz w:val="20"/>
        </w:rPr>
        <w:t>a Administração Pública só pode ser exercida na conformidade da lei e que, de conseguinte, a atividade administrativa é atividade sublegal, infralegal, consistente na expedição de comandos complementares à lei</w:t>
      </w:r>
      <w:r w:rsidRPr="00D77812">
        <w:rPr>
          <w:rFonts w:ascii="Arial" w:hAnsi="Arial" w:cs="Arial"/>
          <w:sz w:val="20"/>
        </w:rPr>
        <w:t xml:space="preserve">.” </w:t>
      </w:r>
      <w:r w:rsidRPr="00D77812">
        <w:rPr>
          <w:rStyle w:val="FootnoteReference"/>
          <w:rFonts w:ascii="Arial" w:hAnsi="Arial" w:cs="Arial"/>
        </w:rPr>
        <w:footnoteReference w:id="4"/>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Numa ótica mais profunda, ANDRÉ DEMICHEL</w:t>
      </w:r>
      <w:r w:rsidRPr="00D77812">
        <w:rPr>
          <w:rStyle w:val="FootnoteReference"/>
          <w:rFonts w:ascii="Arial" w:hAnsi="Arial" w:cs="Arial"/>
        </w:rPr>
        <w:footnoteReference w:id="5"/>
      </w:r>
      <w:r w:rsidRPr="00D77812">
        <w:rPr>
          <w:rFonts w:ascii="Arial" w:hAnsi="Arial" w:cs="Arial"/>
        </w:rPr>
        <w:t xml:space="preserve"> aponta que a noção de legalidade geral de “respeito da regra de direito” pode ser expressa, ao mesmo tempo, em três dimensões para a Administração Pública: </w:t>
      </w:r>
      <w:r w:rsidRPr="00D77812">
        <w:rPr>
          <w:rFonts w:ascii="Arial" w:hAnsi="Arial" w:cs="Arial"/>
          <w:b/>
        </w:rPr>
        <w:t>a)</w:t>
      </w:r>
      <w:r w:rsidRPr="00D77812">
        <w:rPr>
          <w:rFonts w:ascii="Arial" w:hAnsi="Arial" w:cs="Arial"/>
        </w:rPr>
        <w:t xml:space="preserve"> fundar (ou dar início a) sua ação à regra de direito; </w:t>
      </w:r>
      <w:r w:rsidRPr="00D77812">
        <w:rPr>
          <w:rFonts w:ascii="Arial" w:hAnsi="Arial" w:cs="Arial"/>
          <w:b/>
        </w:rPr>
        <w:t>b)</w:t>
      </w:r>
      <w:r w:rsidRPr="00D77812">
        <w:rPr>
          <w:rFonts w:ascii="Arial" w:hAnsi="Arial" w:cs="Arial"/>
        </w:rPr>
        <w:t xml:space="preserve"> conformar sua ação à regra de direito; e </w:t>
      </w:r>
      <w:r w:rsidRPr="00D77812">
        <w:rPr>
          <w:rFonts w:ascii="Arial" w:hAnsi="Arial" w:cs="Arial"/>
          <w:b/>
        </w:rPr>
        <w:t>c)</w:t>
      </w:r>
      <w:r w:rsidRPr="00D77812">
        <w:rPr>
          <w:rFonts w:ascii="Arial" w:hAnsi="Arial" w:cs="Arial"/>
        </w:rPr>
        <w:t xml:space="preserve"> assegurar a aplicação da regra de direito.</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No que aqui nos importa, a conformidade é uma relação jurídica entre dois atos, em que um é superior ao outro. O ato superior, portanto, serve de referência e o inferior deve se conformar a ele. O estudo da relação de conformidade supõe, então, uma dupla operação intelectual. É preciso de início, entre dois atos, determinar qual é superior. É preciso a seguir, para o ato inferior, questionar-se em que consiste a conformidade.</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Um ato poderá ser superior hierarquicamente a outro em razão de seu autor ou em razão de seu conteúdo. Na primeira ótica, a hierarquia dos atos segue a hierarquia dos autores desses atos, e é por isso, por exemplo, que a lei é superior ao decreto, o decreto à portaria, etc. No prisma de conteúdo, por outro lado, o ato inferior não será legal se desbordar dos limites do ato normativo, contradizendo ou desvirtuando o ato superior.</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A doutrina converge na afirmação de que o ato regulamentador é subordinado e deve obediência à norma regulamentada, cumprindo apenas a função de reduzir o seu grau de abstração para aproximar a regra abstrata da ação concreta prescrita às autoridades administrativas. Não pode, portanto, inovar e – menos ainda – contrariar as disposições legais, ou reduzir o alcance dos enunciados legais.</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CELSO ANTÔNIO BANDEIRA DE MELLO enfatiza que a finalidade do “</w:t>
      </w:r>
      <w:r w:rsidRPr="00D77812">
        <w:rPr>
          <w:rFonts w:ascii="Arial" w:hAnsi="Arial" w:cs="Arial"/>
          <w:i/>
        </w:rPr>
        <w:t>poder regulamentar conferido ao Chefe do Poder Executivo não o investe na competência para disciplinar a matéria objeto da lei regulamentada, mas apenas na de explicitar o que nela já se contém pela abstração e generalidade dos seus termos</w:t>
      </w:r>
      <w:r w:rsidRPr="00D77812">
        <w:rPr>
          <w:rFonts w:ascii="Arial" w:hAnsi="Arial" w:cs="Arial"/>
        </w:rPr>
        <w:t xml:space="preserve">." </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No seu magistério "</w:t>
      </w:r>
      <w:r w:rsidRPr="00D77812">
        <w:rPr>
          <w:rFonts w:ascii="Arial" w:hAnsi="Arial" w:cs="Arial"/>
          <w:i/>
        </w:rPr>
        <w:t>ao regulamento desassiste incluir no sistema positivo qualquer regra geradora de direito ou obrigação novos. Nem favor nem restrição que já não se contenham previamente na lei regulamentada podem ser agregados pelo regulamento</w:t>
      </w:r>
      <w:r w:rsidRPr="00D77812">
        <w:rPr>
          <w:rFonts w:ascii="Arial" w:hAnsi="Arial" w:cs="Arial"/>
        </w:rPr>
        <w:t xml:space="preserve">". </w:t>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Em consequência, "</w:t>
      </w:r>
      <w:r w:rsidRPr="00D77812">
        <w:rPr>
          <w:rFonts w:ascii="Arial" w:hAnsi="Arial" w:cs="Arial"/>
          <w:i/>
        </w:rPr>
        <w:t>há inovação proibida quando se possa afirmar que aquele específico direito, dever, obrigação, limitação ou restrição incidentes sobre alguém não estavam já estatuídos e identificados na lei regulamentada. A identificação não necessita ser absoluta, mas deve ser suficiente para que se reconheçam as condições básicas de sua existência em vista de seus pressupostos, estabelecidos na lei e nas finalidades que ela protege</w:t>
      </w:r>
      <w:r w:rsidRPr="00D77812">
        <w:rPr>
          <w:rFonts w:ascii="Arial" w:hAnsi="Arial" w:cs="Arial"/>
        </w:rPr>
        <w:t>".</w:t>
      </w:r>
      <w:r w:rsidRPr="00D77812">
        <w:rPr>
          <w:rStyle w:val="FootnoteReference"/>
          <w:rFonts w:ascii="Arial" w:hAnsi="Arial" w:cs="Arial"/>
          <w:i/>
          <w:spacing w:val="20"/>
          <w:sz w:val="24"/>
          <w:szCs w:val="24"/>
        </w:rPr>
        <w:footnoteReference w:id="6"/>
      </w:r>
    </w:p>
    <w:p w:rsidR="00E96944" w:rsidRPr="00D77812" w:rsidRDefault="00E96944" w:rsidP="006D4C54">
      <w:pPr>
        <w:spacing w:after="0" w:line="320" w:lineRule="exact"/>
        <w:ind w:firstLine="1418"/>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Isso posto, pode-se afirmar que os atos administrativos que desobedecem aos limites de competência e hierarquia merecem ser revisados, sob pena de serem considerados nulos.</w:t>
      </w:r>
    </w:p>
    <w:p w:rsidR="00E96944" w:rsidRPr="00D77812" w:rsidRDefault="00E96944" w:rsidP="006D4C54">
      <w:pPr>
        <w:spacing w:after="0" w:line="320" w:lineRule="exact"/>
        <w:jc w:val="both"/>
        <w:rPr>
          <w:rFonts w:ascii="Arial" w:hAnsi="Arial" w:cs="Arial"/>
          <w:b/>
        </w:rPr>
      </w:pPr>
    </w:p>
    <w:p w:rsidR="00E96944" w:rsidRPr="00D77812" w:rsidRDefault="00E96944" w:rsidP="006D4C54">
      <w:pPr>
        <w:spacing w:after="0" w:line="320" w:lineRule="exact"/>
        <w:jc w:val="both"/>
        <w:rPr>
          <w:rFonts w:ascii="Arial" w:hAnsi="Arial" w:cs="Arial"/>
          <w:b/>
        </w:rPr>
      </w:pPr>
    </w:p>
    <w:p w:rsidR="00E96944" w:rsidRPr="00D77812" w:rsidRDefault="00E96944" w:rsidP="006D4C54">
      <w:pPr>
        <w:spacing w:after="0" w:line="320" w:lineRule="exact"/>
        <w:jc w:val="both"/>
        <w:rPr>
          <w:rFonts w:ascii="Arial" w:hAnsi="Arial" w:cs="Arial"/>
          <w:b/>
        </w:rPr>
      </w:pPr>
      <w:r w:rsidRPr="00D77812">
        <w:rPr>
          <w:rFonts w:ascii="Arial" w:hAnsi="Arial" w:cs="Arial"/>
          <w:b/>
        </w:rPr>
        <w:t>4) DO APONTAMENTO DAS INCONGRUÊNCIAS ESPECÍFICAS</w:t>
      </w:r>
    </w:p>
    <w:p w:rsidR="00E96944" w:rsidRPr="00D77812" w:rsidRDefault="00E96944" w:rsidP="006D4C54">
      <w:pPr>
        <w:spacing w:after="0" w:line="320" w:lineRule="exact"/>
        <w:jc w:val="both"/>
        <w:rPr>
          <w:rFonts w:ascii="Arial" w:hAnsi="Arial" w:cs="Arial"/>
        </w:rPr>
      </w:pPr>
    </w:p>
    <w:p w:rsidR="00E96944" w:rsidRPr="00D77812" w:rsidRDefault="00E96944" w:rsidP="006D4C54">
      <w:pPr>
        <w:spacing w:after="0" w:line="320" w:lineRule="exact"/>
        <w:ind w:firstLine="1418"/>
        <w:jc w:val="both"/>
        <w:rPr>
          <w:rFonts w:ascii="Arial" w:hAnsi="Arial" w:cs="Arial"/>
        </w:rPr>
      </w:pPr>
      <w:r w:rsidRPr="00D77812">
        <w:rPr>
          <w:rFonts w:ascii="Arial" w:hAnsi="Arial" w:cs="Arial"/>
        </w:rPr>
        <w:t>Analisando os dispositivos do Decreto 1.590/95 e da Decisão 432/2015, podemos afirmar que há uma dissonância entre estas normas e a nova Portaria publicada. Alguns aspectos merecem ser citados como exemplo.</w:t>
      </w:r>
    </w:p>
    <w:p w:rsidR="00E96944" w:rsidRPr="00D77812" w:rsidRDefault="00E96944" w:rsidP="006D4C54">
      <w:pPr>
        <w:pStyle w:val="ListParagraph"/>
        <w:spacing w:after="0" w:line="320" w:lineRule="exact"/>
        <w:ind w:left="0" w:firstLine="1418"/>
        <w:jc w:val="both"/>
        <w:rPr>
          <w:rFonts w:ascii="Arial" w:hAnsi="Arial" w:cs="Arial"/>
          <w:b/>
        </w:rPr>
      </w:pPr>
    </w:p>
    <w:p w:rsidR="00E96944" w:rsidRPr="00D77812" w:rsidRDefault="00E96944" w:rsidP="006D4C54">
      <w:pPr>
        <w:pStyle w:val="ListParagraph"/>
        <w:spacing w:after="0" w:line="320" w:lineRule="exact"/>
        <w:ind w:left="0" w:firstLine="1418"/>
        <w:jc w:val="both"/>
        <w:rPr>
          <w:rFonts w:ascii="Arial" w:hAnsi="Arial" w:cs="Arial"/>
          <w:b/>
        </w:rPr>
      </w:pPr>
      <w:r w:rsidRPr="00D77812">
        <w:rPr>
          <w:rFonts w:ascii="Arial" w:hAnsi="Arial" w:cs="Arial"/>
          <w:b/>
        </w:rPr>
        <w:t xml:space="preserve">4.1) Flexibilização como medida excepcional </w:t>
      </w:r>
    </w:p>
    <w:p w:rsidR="00E96944" w:rsidRPr="00D77812" w:rsidRDefault="00E96944" w:rsidP="006D4C54">
      <w:pPr>
        <w:pStyle w:val="ListParagraph"/>
        <w:spacing w:after="0" w:line="320" w:lineRule="exact"/>
        <w:ind w:left="0" w:firstLine="1418"/>
        <w:jc w:val="both"/>
        <w:rPr>
          <w:rFonts w:ascii="Arial" w:hAnsi="Arial" w:cs="Arial"/>
        </w:rPr>
      </w:pPr>
    </w:p>
    <w:p w:rsidR="00E96944" w:rsidRPr="00D77812" w:rsidRDefault="00E96944" w:rsidP="006D4C54">
      <w:pPr>
        <w:pStyle w:val="ListParagraph"/>
        <w:spacing w:after="0" w:line="320" w:lineRule="exact"/>
        <w:ind w:left="0" w:firstLine="1418"/>
        <w:jc w:val="both"/>
        <w:rPr>
          <w:rFonts w:ascii="Arial" w:hAnsi="Arial" w:cs="Arial"/>
        </w:rPr>
      </w:pPr>
      <w:r w:rsidRPr="00D77812">
        <w:rPr>
          <w:rFonts w:ascii="Arial" w:hAnsi="Arial" w:cs="Arial"/>
        </w:rPr>
        <w:t>Em seu art. 2º, a Portaria nº 3183 assevera ser a flexibilização “medida excepcional”</w:t>
      </w:r>
      <w:r w:rsidRPr="00D77812">
        <w:rPr>
          <w:rStyle w:val="FootnoteReference"/>
          <w:rFonts w:ascii="Arial" w:hAnsi="Arial" w:cs="Arial"/>
        </w:rPr>
        <w:footnoteReference w:id="7"/>
      </w:r>
      <w:r w:rsidRPr="00D77812">
        <w:rPr>
          <w:rFonts w:ascii="Arial" w:hAnsi="Arial" w:cs="Arial"/>
        </w:rPr>
        <w:t xml:space="preserve">. Contudo, tal disposição pode ser entendida como extrapoladora das competências do Magnífico Reitor, eis que: </w:t>
      </w:r>
      <w:r w:rsidRPr="00D77812">
        <w:rPr>
          <w:rFonts w:ascii="Arial" w:hAnsi="Arial" w:cs="Arial"/>
          <w:b/>
        </w:rPr>
        <w:t>(I)</w:t>
      </w:r>
      <w:r w:rsidRPr="00D77812">
        <w:rPr>
          <w:rFonts w:ascii="Arial" w:hAnsi="Arial" w:cs="Arial"/>
        </w:rPr>
        <w:t xml:space="preserve"> inexiste tal determinação ou sequer cogitação à ideia de excepcionalidade no Decreto 1.590/95 e na Decisão 432 do CONSUN, bem como </w:t>
      </w:r>
      <w:r w:rsidRPr="00D77812">
        <w:rPr>
          <w:rFonts w:ascii="Arial" w:hAnsi="Arial" w:cs="Arial"/>
          <w:b/>
        </w:rPr>
        <w:t>(II)</w:t>
      </w:r>
      <w:r w:rsidRPr="00D77812">
        <w:rPr>
          <w:rFonts w:ascii="Arial" w:hAnsi="Arial" w:cs="Arial"/>
        </w:rPr>
        <w:t xml:space="preserve"> contraria expressamente os ditames da Decisão 432 que reconhece explicitamente que “</w:t>
      </w:r>
      <w:r w:rsidRPr="00D77812">
        <w:rPr>
          <w:rFonts w:ascii="Arial" w:hAnsi="Arial" w:cs="Arial"/>
          <w:i/>
        </w:rPr>
        <w:t>a grande maioria dos setores da UFRGS caracteriza-se por apresentar uma demanda de atendimento ao público interno e externo ao longo de todo o período compreendido entre as sete e as vinte e três hora (...).</w:t>
      </w:r>
      <w:r w:rsidRPr="00D77812">
        <w:rPr>
          <w:rFonts w:ascii="Arial" w:hAnsi="Arial" w:cs="Arial"/>
        </w:rPr>
        <w:t>”</w:t>
      </w:r>
      <w:r w:rsidRPr="00D77812">
        <w:rPr>
          <w:rFonts w:ascii="Arial" w:hAnsi="Arial" w:cs="Arial"/>
        </w:rPr>
        <w:tab/>
      </w:r>
    </w:p>
    <w:p w:rsidR="00E96944" w:rsidRPr="00D77812" w:rsidRDefault="00E96944" w:rsidP="006D4C54">
      <w:pPr>
        <w:pStyle w:val="ListParagraph"/>
        <w:spacing w:after="0" w:line="320" w:lineRule="exact"/>
        <w:ind w:left="0" w:firstLine="1418"/>
        <w:jc w:val="both"/>
        <w:rPr>
          <w:rFonts w:ascii="Arial" w:hAnsi="Arial" w:cs="Arial"/>
          <w:b/>
        </w:rPr>
      </w:pPr>
      <w:r w:rsidRPr="00D77812">
        <w:rPr>
          <w:rFonts w:ascii="Arial" w:hAnsi="Arial" w:cs="Arial"/>
          <w:b/>
        </w:rPr>
        <w:t>4.2) Condicionar à “demanda reprimida”</w:t>
      </w:r>
    </w:p>
    <w:p w:rsidR="00E96944" w:rsidRPr="00D77812" w:rsidRDefault="00E96944" w:rsidP="006D4C54">
      <w:pPr>
        <w:pStyle w:val="ListParagraph"/>
        <w:spacing w:after="0" w:line="320" w:lineRule="exact"/>
        <w:ind w:left="0" w:firstLine="1418"/>
        <w:jc w:val="both"/>
        <w:rPr>
          <w:rFonts w:ascii="Arial" w:hAnsi="Arial" w:cs="Arial"/>
        </w:rPr>
      </w:pPr>
    </w:p>
    <w:p w:rsidR="00E96944" w:rsidRPr="00D77812" w:rsidRDefault="00E96944" w:rsidP="006D4C54">
      <w:pPr>
        <w:pStyle w:val="ListParagraph"/>
        <w:spacing w:after="0" w:line="320" w:lineRule="exact"/>
        <w:ind w:left="0" w:firstLine="1418"/>
        <w:jc w:val="both"/>
        <w:rPr>
          <w:rFonts w:ascii="Arial" w:hAnsi="Arial" w:cs="Arial"/>
        </w:rPr>
      </w:pPr>
      <w:r w:rsidRPr="00D77812">
        <w:rPr>
          <w:rFonts w:ascii="Arial" w:hAnsi="Arial" w:cs="Arial"/>
        </w:rPr>
        <w:t>O Art. 3°, § 1°, inc. b, condiciona a autorização da flexibilização da jornada de trabalho, dentre outros requisitos, “</w:t>
      </w:r>
      <w:r w:rsidRPr="00D77812">
        <w:rPr>
          <w:rFonts w:ascii="Arial" w:hAnsi="Arial" w:cs="Arial"/>
          <w:i/>
        </w:rPr>
        <w:t>à comprovação da demanda reprimida, quando se justificar pelo atendimento ao público</w:t>
      </w:r>
      <w:r w:rsidRPr="00D77812">
        <w:rPr>
          <w:rFonts w:ascii="Arial" w:hAnsi="Arial" w:cs="Arial"/>
        </w:rPr>
        <w:t xml:space="preserve">”. Parece-nos que há um desvio de finalidade, pois a intenção contida na norma do qual o poder regulamentador deriva (Decreto 1.590/95 e Decisão 432/2015-CONSUN) é a </w:t>
      </w:r>
      <w:r w:rsidRPr="00D77812">
        <w:rPr>
          <w:rFonts w:ascii="Arial" w:hAnsi="Arial" w:cs="Arial"/>
          <w:b/>
        </w:rPr>
        <w:t>melhoria do oferecimento dos serviços públicos</w:t>
      </w:r>
      <w:r w:rsidRPr="00D77812">
        <w:rPr>
          <w:rFonts w:ascii="Arial" w:hAnsi="Arial" w:cs="Arial"/>
        </w:rPr>
        <w:t>, e não somente sua utilização como remédio para setores que não atendem sua demanda normal.</w:t>
      </w:r>
    </w:p>
    <w:p w:rsidR="00E96944" w:rsidRPr="00D77812" w:rsidRDefault="00E96944" w:rsidP="006D4C54">
      <w:pPr>
        <w:pStyle w:val="ListParagraph"/>
        <w:spacing w:after="0" w:line="320" w:lineRule="exact"/>
        <w:ind w:left="0" w:firstLine="1418"/>
        <w:jc w:val="both"/>
        <w:rPr>
          <w:rFonts w:ascii="Arial" w:hAnsi="Arial" w:cs="Arial"/>
        </w:rPr>
      </w:pPr>
    </w:p>
    <w:p w:rsidR="00E96944" w:rsidRPr="00D77812" w:rsidRDefault="00E96944" w:rsidP="006D4C54">
      <w:pPr>
        <w:pStyle w:val="ListParagraph"/>
        <w:spacing w:after="0" w:line="320" w:lineRule="exact"/>
        <w:ind w:left="0" w:firstLine="1418"/>
        <w:jc w:val="both"/>
        <w:rPr>
          <w:rFonts w:ascii="Arial" w:hAnsi="Arial" w:cs="Arial"/>
          <w:b/>
        </w:rPr>
      </w:pPr>
      <w:r w:rsidRPr="00D77812">
        <w:rPr>
          <w:rFonts w:ascii="Arial" w:hAnsi="Arial" w:cs="Arial"/>
          <w:b/>
        </w:rPr>
        <w:t xml:space="preserve">4.3) Conceito de atendimento ao público </w:t>
      </w:r>
    </w:p>
    <w:p w:rsidR="00E96944" w:rsidRPr="00D77812" w:rsidRDefault="00E96944" w:rsidP="006D4C54">
      <w:pPr>
        <w:pStyle w:val="ListParagraph"/>
        <w:spacing w:after="0" w:line="320" w:lineRule="exact"/>
        <w:ind w:left="0" w:firstLine="1418"/>
        <w:jc w:val="both"/>
        <w:rPr>
          <w:rFonts w:ascii="Arial" w:hAnsi="Arial" w:cs="Arial"/>
        </w:rPr>
      </w:pPr>
    </w:p>
    <w:p w:rsidR="00E96944" w:rsidRPr="00D77812" w:rsidRDefault="00E96944" w:rsidP="006D4C54">
      <w:pPr>
        <w:pStyle w:val="ListParagraph"/>
        <w:spacing w:after="0" w:line="320" w:lineRule="exact"/>
        <w:ind w:left="0" w:firstLine="1418"/>
        <w:jc w:val="both"/>
        <w:rPr>
          <w:rFonts w:ascii="Arial" w:hAnsi="Arial" w:cs="Arial"/>
        </w:rPr>
      </w:pPr>
      <w:r w:rsidRPr="00D77812">
        <w:rPr>
          <w:rFonts w:ascii="Arial" w:hAnsi="Arial" w:cs="Arial"/>
        </w:rPr>
        <w:t xml:space="preserve">Dispõe o § 1° do art. 2 da Decisão 432/2015-CONSUN: “Será adotado para fins de conceito de ‘atendimento ao público’ o previsto na Lei nº 11.091/2005, quando define ‘usuário’ como pessoas ou coletividades internas ou externas à Instituição/UFRGS que usufruem direta ou indiretamente dos serviços por ela prestados.” </w:t>
      </w:r>
    </w:p>
    <w:p w:rsidR="00E96944" w:rsidRPr="00D77812" w:rsidRDefault="00E96944" w:rsidP="006D4C54">
      <w:pPr>
        <w:pStyle w:val="ListParagraph"/>
        <w:spacing w:after="0" w:line="320" w:lineRule="exact"/>
        <w:ind w:left="0" w:firstLine="1418"/>
        <w:jc w:val="both"/>
        <w:rPr>
          <w:rFonts w:ascii="Arial" w:hAnsi="Arial" w:cs="Arial"/>
        </w:rPr>
      </w:pPr>
    </w:p>
    <w:p w:rsidR="00E96944" w:rsidRPr="00D77812" w:rsidRDefault="00E96944" w:rsidP="006D4C54">
      <w:pPr>
        <w:pStyle w:val="ListParagraph"/>
        <w:spacing w:after="0" w:line="320" w:lineRule="exact"/>
        <w:ind w:left="0" w:firstLine="1418"/>
        <w:jc w:val="both"/>
        <w:rPr>
          <w:rFonts w:ascii="Arial" w:hAnsi="Arial" w:cs="Arial"/>
        </w:rPr>
      </w:pPr>
      <w:r w:rsidRPr="00D77812">
        <w:rPr>
          <w:rFonts w:ascii="Arial" w:hAnsi="Arial" w:cs="Arial"/>
        </w:rPr>
        <w:t>Já o §3º do art. 3º da Portaria 3.183 estabelece que “</w:t>
      </w:r>
      <w:r w:rsidRPr="00D77812">
        <w:rPr>
          <w:rFonts w:ascii="Arial" w:hAnsi="Arial" w:cs="Arial"/>
          <w:i/>
        </w:rPr>
        <w:t xml:space="preserve">Considera-se atendimento ao público, para fins desta portaria, o atendimento prestado às pessoas ou coletividades que usufruem direta ou indiretamente dos serviços prestados pela Universidade, </w:t>
      </w:r>
      <w:r w:rsidRPr="00D77812">
        <w:rPr>
          <w:rFonts w:ascii="Arial" w:hAnsi="Arial" w:cs="Arial"/>
          <w:b/>
          <w:i/>
          <w:u w:val="single"/>
        </w:rPr>
        <w:t>caracterizado como premente e sujeito à presença permanente, imprevisível, sequencial e ininterrupta do usuário, prioritariamente discente</w:t>
      </w:r>
      <w:r w:rsidRPr="00D77812">
        <w:rPr>
          <w:rFonts w:ascii="Arial" w:hAnsi="Arial" w:cs="Arial"/>
        </w:rPr>
        <w:t xml:space="preserve">.” </w:t>
      </w:r>
    </w:p>
    <w:p w:rsidR="00E96944" w:rsidRPr="00D77812" w:rsidRDefault="00E96944" w:rsidP="006D4C54">
      <w:pPr>
        <w:pStyle w:val="ListParagraph"/>
        <w:spacing w:after="0" w:line="320" w:lineRule="exact"/>
        <w:ind w:left="0" w:firstLine="1418"/>
        <w:jc w:val="both"/>
        <w:rPr>
          <w:rFonts w:ascii="Arial" w:hAnsi="Arial" w:cs="Arial"/>
        </w:rPr>
      </w:pPr>
    </w:p>
    <w:p w:rsidR="00E96944" w:rsidRPr="00D77812" w:rsidRDefault="00E96944" w:rsidP="006D4C54">
      <w:pPr>
        <w:pStyle w:val="ListParagraph"/>
        <w:spacing w:after="0" w:line="320" w:lineRule="exact"/>
        <w:ind w:left="0" w:firstLine="1418"/>
        <w:jc w:val="both"/>
        <w:rPr>
          <w:rFonts w:ascii="Arial" w:hAnsi="Arial" w:cs="Arial"/>
        </w:rPr>
      </w:pPr>
      <w:r w:rsidRPr="00D77812">
        <w:rPr>
          <w:rFonts w:ascii="Arial" w:hAnsi="Arial" w:cs="Arial"/>
        </w:rPr>
        <w:t xml:space="preserve">Entendemos que a Portaria, ao redefinir o conceito de “atendimento ao público”, restringe excessivamente aquele trazido pela Decisão 432/2015-CONSUN. Esta, por sua vez, remete ao conceito de usuário da </w:t>
      </w:r>
      <w:r w:rsidRPr="00D77812">
        <w:rPr>
          <w:rFonts w:ascii="Arial" w:hAnsi="Arial" w:cs="Arial"/>
          <w:b/>
        </w:rPr>
        <w:t>Lei 11.091/05</w:t>
      </w:r>
      <w:r w:rsidRPr="00D77812">
        <w:rPr>
          <w:rFonts w:ascii="Arial" w:hAnsi="Arial" w:cs="Arial"/>
        </w:rPr>
        <w:t xml:space="preserve">, que tampouco faz a restrição proposta pela Portaria, </w:t>
      </w:r>
      <w:r w:rsidRPr="00D77812">
        <w:rPr>
          <w:rFonts w:ascii="Arial" w:hAnsi="Arial" w:cs="Arial"/>
          <w:i/>
        </w:rPr>
        <w:t>in verbis</w:t>
      </w:r>
      <w:r w:rsidRPr="00D77812">
        <w:rPr>
          <w:rFonts w:ascii="Arial" w:hAnsi="Arial" w:cs="Arial"/>
        </w:rPr>
        <w:t>:</w:t>
      </w:r>
    </w:p>
    <w:p w:rsidR="00E96944" w:rsidRPr="00D77812" w:rsidRDefault="00E96944" w:rsidP="006D4C54">
      <w:pPr>
        <w:pStyle w:val="ListParagraph"/>
        <w:spacing w:after="0" w:line="320" w:lineRule="exact"/>
        <w:ind w:left="0" w:firstLine="1418"/>
        <w:jc w:val="both"/>
        <w:rPr>
          <w:rFonts w:ascii="Arial" w:hAnsi="Arial" w:cs="Arial"/>
        </w:rPr>
      </w:pPr>
    </w:p>
    <w:p w:rsidR="00E96944" w:rsidRPr="00D77812" w:rsidRDefault="00E96944" w:rsidP="002131AB">
      <w:pPr>
        <w:pStyle w:val="FootnoteText"/>
        <w:ind w:left="1418"/>
        <w:jc w:val="both"/>
        <w:rPr>
          <w:rFonts w:ascii="Arial" w:hAnsi="Arial" w:cs="Arial"/>
          <w:szCs w:val="18"/>
        </w:rPr>
      </w:pPr>
      <w:r w:rsidRPr="00D77812">
        <w:rPr>
          <w:rFonts w:ascii="Arial" w:hAnsi="Arial" w:cs="Arial"/>
          <w:szCs w:val="18"/>
        </w:rPr>
        <w:t xml:space="preserve">Art. 5º </w:t>
      </w:r>
    </w:p>
    <w:p w:rsidR="00E96944" w:rsidRPr="00D77812" w:rsidRDefault="00E96944" w:rsidP="002131AB">
      <w:pPr>
        <w:pStyle w:val="FootnoteText"/>
        <w:ind w:left="1418"/>
        <w:jc w:val="both"/>
        <w:rPr>
          <w:rFonts w:ascii="Arial" w:hAnsi="Arial" w:cs="Arial"/>
          <w:szCs w:val="18"/>
        </w:rPr>
      </w:pPr>
      <w:r w:rsidRPr="00D77812">
        <w:rPr>
          <w:rFonts w:ascii="Arial" w:hAnsi="Arial" w:cs="Arial"/>
          <w:szCs w:val="18"/>
        </w:rPr>
        <w:t>(...)</w:t>
      </w:r>
    </w:p>
    <w:p w:rsidR="00E96944" w:rsidRPr="00D77812" w:rsidRDefault="00E96944" w:rsidP="002131AB">
      <w:pPr>
        <w:pStyle w:val="FootnoteText"/>
        <w:ind w:left="1418"/>
        <w:jc w:val="both"/>
        <w:rPr>
          <w:rFonts w:ascii="Arial" w:hAnsi="Arial" w:cs="Arial"/>
          <w:szCs w:val="18"/>
        </w:rPr>
      </w:pPr>
      <w:r w:rsidRPr="00D77812">
        <w:rPr>
          <w:rFonts w:ascii="Arial" w:hAnsi="Arial" w:cs="Arial"/>
          <w:szCs w:val="18"/>
        </w:rPr>
        <w:t xml:space="preserve">VII - usuários: pessoas ou coletividades </w:t>
      </w:r>
      <w:r w:rsidRPr="00D77812">
        <w:rPr>
          <w:rFonts w:ascii="Arial" w:hAnsi="Arial" w:cs="Arial"/>
          <w:b/>
          <w:szCs w:val="18"/>
        </w:rPr>
        <w:t>internas ou externas</w:t>
      </w:r>
      <w:r w:rsidRPr="00D77812">
        <w:rPr>
          <w:rFonts w:ascii="Arial" w:hAnsi="Arial" w:cs="Arial"/>
          <w:szCs w:val="18"/>
        </w:rPr>
        <w:t xml:space="preserve"> à Instituição Federal de Ensino que usufruem </w:t>
      </w:r>
      <w:r w:rsidRPr="00D77812">
        <w:rPr>
          <w:rFonts w:ascii="Arial" w:hAnsi="Arial" w:cs="Arial"/>
          <w:b/>
          <w:szCs w:val="18"/>
        </w:rPr>
        <w:t>direta ou indiretamente</w:t>
      </w:r>
      <w:r w:rsidRPr="00D77812">
        <w:rPr>
          <w:rFonts w:ascii="Arial" w:hAnsi="Arial" w:cs="Arial"/>
          <w:szCs w:val="18"/>
        </w:rPr>
        <w:t xml:space="preserve"> dos serviços por ela prestados.</w:t>
      </w:r>
    </w:p>
    <w:p w:rsidR="00E96944" w:rsidRPr="00D77812" w:rsidRDefault="00E96944" w:rsidP="006D4C54">
      <w:pPr>
        <w:pStyle w:val="ListParagraph"/>
        <w:spacing w:after="0" w:line="320" w:lineRule="exact"/>
        <w:ind w:left="0" w:firstLine="1418"/>
        <w:jc w:val="both"/>
        <w:rPr>
          <w:rFonts w:ascii="Arial" w:hAnsi="Arial" w:cs="Arial"/>
        </w:rPr>
      </w:pPr>
    </w:p>
    <w:p w:rsidR="00E96944" w:rsidRPr="00D77812" w:rsidRDefault="00E96944" w:rsidP="002131AB">
      <w:pPr>
        <w:pStyle w:val="ListParagraph"/>
        <w:spacing w:after="0" w:line="320" w:lineRule="exact"/>
        <w:ind w:left="0" w:firstLine="1418"/>
        <w:jc w:val="both"/>
        <w:rPr>
          <w:rFonts w:ascii="Arial" w:hAnsi="Arial" w:cs="Arial"/>
        </w:rPr>
      </w:pPr>
      <w:r w:rsidRPr="00D77812">
        <w:rPr>
          <w:rFonts w:ascii="Arial" w:hAnsi="Arial" w:cs="Arial"/>
        </w:rPr>
        <w:t>Não há como, pois, diante destes indícios, não entender que a Portaria em análise deixa de se conformar com a ordem jurídica a que está vinculada.</w:t>
      </w:r>
    </w:p>
    <w:p w:rsidR="00E96944" w:rsidRPr="00D77812" w:rsidRDefault="00E96944" w:rsidP="006D4C54">
      <w:pPr>
        <w:pStyle w:val="ListParagraph"/>
        <w:spacing w:after="0" w:line="320" w:lineRule="exact"/>
        <w:ind w:left="0" w:firstLine="1418"/>
        <w:rPr>
          <w:rFonts w:ascii="Arial" w:hAnsi="Arial" w:cs="Arial"/>
        </w:rPr>
      </w:pPr>
    </w:p>
    <w:p w:rsidR="00E96944" w:rsidRPr="00D77812" w:rsidRDefault="00E96944" w:rsidP="006D4C54">
      <w:pPr>
        <w:pStyle w:val="ListParagraph"/>
        <w:spacing w:after="0" w:line="320" w:lineRule="exact"/>
        <w:ind w:left="0" w:firstLine="1418"/>
        <w:jc w:val="both"/>
        <w:rPr>
          <w:rFonts w:ascii="Arial" w:hAnsi="Arial" w:cs="Arial"/>
          <w:b/>
        </w:rPr>
      </w:pPr>
      <w:r w:rsidRPr="00D77812">
        <w:rPr>
          <w:rFonts w:ascii="Arial" w:hAnsi="Arial" w:cs="Arial"/>
          <w:b/>
        </w:rPr>
        <w:t>4.4) Criação de procedimentos não previstos na Decisão</w:t>
      </w:r>
    </w:p>
    <w:p w:rsidR="00E96944" w:rsidRPr="00D77812" w:rsidRDefault="00E96944" w:rsidP="006D4C54">
      <w:pPr>
        <w:pStyle w:val="ListParagraph"/>
        <w:spacing w:after="0" w:line="320" w:lineRule="exact"/>
        <w:ind w:left="0" w:firstLine="1418"/>
        <w:jc w:val="both"/>
        <w:rPr>
          <w:rFonts w:ascii="Arial" w:hAnsi="Arial" w:cs="Arial"/>
          <w:b/>
        </w:rPr>
      </w:pPr>
    </w:p>
    <w:p w:rsidR="00E96944" w:rsidRPr="00D77812" w:rsidRDefault="00E96944" w:rsidP="006D4C54">
      <w:pPr>
        <w:pStyle w:val="ListParagraph"/>
        <w:spacing w:after="0" w:line="320" w:lineRule="exact"/>
        <w:ind w:left="0" w:firstLine="1418"/>
        <w:jc w:val="both"/>
        <w:rPr>
          <w:rFonts w:ascii="Arial" w:hAnsi="Arial" w:cs="Arial"/>
        </w:rPr>
      </w:pPr>
      <w:r w:rsidRPr="00D77812">
        <w:rPr>
          <w:rFonts w:ascii="Arial" w:hAnsi="Arial" w:cs="Arial"/>
        </w:rPr>
        <w:t>Ainda, a Decisão 432/2015-CONSUN, que a Portaria deveria apenas regulamentar, prevê, no §1º do seu artigo 7º, que “</w:t>
      </w:r>
      <w:r w:rsidRPr="00D77812">
        <w:rPr>
          <w:rFonts w:ascii="Arial" w:hAnsi="Arial" w:cs="Arial"/>
          <w:i/>
        </w:rPr>
        <w:t>o Parecer será submetido ao Reitor para, se concordar, emitir Portaria</w:t>
      </w:r>
      <w:r w:rsidRPr="00D77812">
        <w:rPr>
          <w:rFonts w:ascii="Arial" w:hAnsi="Arial" w:cs="Arial"/>
        </w:rPr>
        <w:t xml:space="preserve">”. Contudo, parece-nos que a Portaria inova no procedimento previsto pela Decisão 432/2015-CONSUN. </w:t>
      </w:r>
    </w:p>
    <w:p w:rsidR="00E96944" w:rsidRPr="00D77812" w:rsidRDefault="00E96944" w:rsidP="006D4C54">
      <w:pPr>
        <w:pStyle w:val="ListParagraph"/>
        <w:spacing w:after="0" w:line="320" w:lineRule="exact"/>
        <w:ind w:left="0" w:firstLine="1418"/>
        <w:jc w:val="both"/>
        <w:rPr>
          <w:rFonts w:ascii="Arial" w:hAnsi="Arial" w:cs="Arial"/>
        </w:rPr>
      </w:pPr>
    </w:p>
    <w:p w:rsidR="00E96944" w:rsidRPr="00D77812" w:rsidRDefault="00E96944" w:rsidP="006D4C54">
      <w:pPr>
        <w:pStyle w:val="ListParagraph"/>
        <w:spacing w:after="0" w:line="320" w:lineRule="exact"/>
        <w:ind w:left="0" w:firstLine="1418"/>
        <w:jc w:val="both"/>
        <w:rPr>
          <w:rFonts w:ascii="Arial" w:hAnsi="Arial" w:cs="Arial"/>
        </w:rPr>
      </w:pPr>
      <w:r w:rsidRPr="00D77812">
        <w:rPr>
          <w:rFonts w:ascii="Arial" w:hAnsi="Arial" w:cs="Arial"/>
        </w:rPr>
        <w:t>Com efeito, o §1º do artigo 7º da Portaria 3183 prevê que “</w:t>
      </w:r>
      <w:r w:rsidRPr="00D77812">
        <w:rPr>
          <w:rFonts w:ascii="Arial" w:hAnsi="Arial" w:cs="Arial"/>
          <w:i/>
        </w:rPr>
        <w:t>para subsidiar sua decisão, o Reitor poderá solicitar manifestação de outros órgãos da Universidade ou aos órgãos setorial e central do Sistema de Pessoal Civil</w:t>
      </w:r>
      <w:r w:rsidRPr="00D77812">
        <w:rPr>
          <w:rFonts w:ascii="Arial" w:hAnsi="Arial" w:cs="Arial"/>
        </w:rPr>
        <w:t xml:space="preserve">”. Além de inovar em relação ao trâmite previsto na decisão do CONSUN, esse apontamento pode levar à burocratização e à perpetuação do trâmite processual. </w:t>
      </w:r>
    </w:p>
    <w:p w:rsidR="00E96944" w:rsidRPr="00D77812" w:rsidRDefault="00E96944" w:rsidP="006D4C54">
      <w:pPr>
        <w:pStyle w:val="ListParagraph"/>
        <w:spacing w:after="0" w:line="320" w:lineRule="exact"/>
        <w:ind w:left="0" w:firstLine="1418"/>
        <w:jc w:val="both"/>
        <w:rPr>
          <w:rFonts w:ascii="Arial" w:hAnsi="Arial" w:cs="Arial"/>
        </w:rPr>
      </w:pPr>
    </w:p>
    <w:p w:rsidR="00E96944" w:rsidRPr="00D77812" w:rsidRDefault="00E96944" w:rsidP="006D4C54">
      <w:pPr>
        <w:pStyle w:val="ListParagraph"/>
        <w:spacing w:after="0" w:line="320" w:lineRule="exact"/>
        <w:ind w:left="0" w:firstLine="1418"/>
        <w:jc w:val="both"/>
        <w:rPr>
          <w:rFonts w:ascii="Arial" w:hAnsi="Arial" w:cs="Arial"/>
        </w:rPr>
      </w:pPr>
      <w:r w:rsidRPr="00D77812">
        <w:rPr>
          <w:rFonts w:ascii="Arial" w:hAnsi="Arial" w:cs="Arial"/>
        </w:rPr>
        <w:t>Nesse ponto, parece importante ressaltar a distinção ao mesmo tempo clássica e controversa do poder discricionário e do poder vinculado.</w:t>
      </w:r>
    </w:p>
    <w:p w:rsidR="00E96944" w:rsidRPr="00D77812" w:rsidRDefault="00E96944" w:rsidP="006D4C54">
      <w:pPr>
        <w:pStyle w:val="ListParagraph"/>
        <w:spacing w:after="0" w:line="320" w:lineRule="exact"/>
        <w:ind w:left="0" w:firstLine="1418"/>
        <w:jc w:val="both"/>
        <w:rPr>
          <w:rFonts w:ascii="Arial" w:hAnsi="Arial" w:cs="Arial"/>
        </w:rPr>
      </w:pPr>
    </w:p>
    <w:p w:rsidR="00E96944" w:rsidRPr="00D77812" w:rsidRDefault="00E96944" w:rsidP="006D4C54">
      <w:pPr>
        <w:pStyle w:val="ListParagraph"/>
        <w:spacing w:after="0" w:line="320" w:lineRule="exact"/>
        <w:ind w:left="0" w:firstLine="1418"/>
        <w:jc w:val="both"/>
        <w:rPr>
          <w:rFonts w:ascii="Arial" w:hAnsi="Arial" w:cs="Arial"/>
        </w:rPr>
      </w:pPr>
      <w:r w:rsidRPr="00D77812">
        <w:rPr>
          <w:rFonts w:ascii="Arial" w:hAnsi="Arial" w:cs="Arial"/>
        </w:rPr>
        <w:t>Segundo ANDRÉ DEMICHEL, essa distinção diz respeito à ligação, mais ou menos estreita, que existe entre os motivos e o objeto de um ato. E prossegue:</w:t>
      </w:r>
    </w:p>
    <w:p w:rsidR="00E96944" w:rsidRPr="00D77812" w:rsidRDefault="00E96944" w:rsidP="006D4C54">
      <w:pPr>
        <w:pStyle w:val="ListParagraph"/>
        <w:spacing w:after="0" w:line="320" w:lineRule="exact"/>
        <w:ind w:left="0" w:firstLine="1418"/>
        <w:jc w:val="both"/>
        <w:rPr>
          <w:rFonts w:ascii="Arial" w:hAnsi="Arial" w:cs="Arial"/>
        </w:rPr>
      </w:pPr>
    </w:p>
    <w:p w:rsidR="00E96944" w:rsidRPr="00D77812" w:rsidRDefault="00E96944" w:rsidP="002131AB">
      <w:pPr>
        <w:pStyle w:val="ListParagraph"/>
        <w:spacing w:after="0" w:line="240" w:lineRule="auto"/>
        <w:ind w:left="1418"/>
        <w:jc w:val="both"/>
        <w:rPr>
          <w:rFonts w:ascii="Arial" w:hAnsi="Arial" w:cs="Arial"/>
          <w:sz w:val="20"/>
        </w:rPr>
      </w:pPr>
      <w:r w:rsidRPr="00D77812">
        <w:rPr>
          <w:rFonts w:ascii="Arial" w:hAnsi="Arial" w:cs="Arial"/>
          <w:sz w:val="20"/>
        </w:rPr>
        <w:t>“</w:t>
      </w:r>
      <w:r w:rsidRPr="00D77812">
        <w:rPr>
          <w:rFonts w:ascii="Arial" w:hAnsi="Arial" w:cs="Arial"/>
          <w:b/>
          <w:i/>
          <w:sz w:val="20"/>
        </w:rPr>
        <w:t>Se em presença de tal ou tal motivo, de direito e de fato, a Administração é obrigada a agir</w:t>
      </w:r>
      <w:r w:rsidRPr="00D77812">
        <w:rPr>
          <w:rFonts w:ascii="Arial" w:hAnsi="Arial" w:cs="Arial"/>
          <w:i/>
          <w:sz w:val="20"/>
        </w:rPr>
        <w:t xml:space="preserve">, e eventualmente a agir em um certo sentido, </w:t>
      </w:r>
      <w:r w:rsidRPr="00D77812">
        <w:rPr>
          <w:rFonts w:ascii="Arial" w:hAnsi="Arial" w:cs="Arial"/>
          <w:b/>
          <w:i/>
          <w:sz w:val="20"/>
        </w:rPr>
        <w:t>seu poder é vinculado</w:t>
      </w:r>
      <w:r w:rsidRPr="00D77812">
        <w:rPr>
          <w:rFonts w:ascii="Arial" w:hAnsi="Arial" w:cs="Arial"/>
          <w:i/>
          <w:sz w:val="20"/>
        </w:rPr>
        <w:t>. No caso contrário, ele é discricionário</w:t>
      </w:r>
      <w:r w:rsidRPr="00D77812">
        <w:rPr>
          <w:sz w:val="20"/>
        </w:rPr>
        <w:t xml:space="preserve"> </w:t>
      </w:r>
      <w:r w:rsidRPr="00D77812">
        <w:rPr>
          <w:rFonts w:ascii="Arial" w:hAnsi="Arial" w:cs="Arial"/>
          <w:i/>
          <w:sz w:val="20"/>
        </w:rPr>
        <w:t xml:space="preserve">Mas é preciso bem compreender que não há aqui oposição categórica entre dois tipos de poder. Cada competência da administração comporta uma parte mais ou menos importante de poder discricionário e de poder vinculado.  </w:t>
      </w:r>
      <w:r w:rsidRPr="00D77812">
        <w:rPr>
          <w:rFonts w:ascii="Arial" w:hAnsi="Arial" w:cs="Arial"/>
          <w:b/>
          <w:i/>
          <w:sz w:val="20"/>
        </w:rPr>
        <w:t>Há notadamente sempre um mínimo de poder vinculado</w:t>
      </w:r>
      <w:r w:rsidRPr="00D77812">
        <w:rPr>
          <w:rFonts w:ascii="Arial" w:hAnsi="Arial" w:cs="Arial"/>
          <w:i/>
          <w:sz w:val="20"/>
        </w:rPr>
        <w:t>, de modo que a administração não pode agir, em qualquer hipótese, a não ser por um objetivo e um motivo correspondentes ao interesse geral. Inversamente, a administração conserva, em qualquer hipótese, um mínimo de poder discricionário, afetando, em uma margem razoável, a escolha do momento.</w:t>
      </w:r>
      <w:r w:rsidRPr="00D77812">
        <w:rPr>
          <w:rFonts w:ascii="Arial" w:hAnsi="Arial" w:cs="Arial"/>
          <w:sz w:val="20"/>
        </w:rPr>
        <w:t>”</w:t>
      </w:r>
    </w:p>
    <w:p w:rsidR="00E96944" w:rsidRPr="00D77812" w:rsidRDefault="00E96944" w:rsidP="006D4C54">
      <w:pPr>
        <w:pStyle w:val="ListParagraph"/>
        <w:spacing w:after="0" w:line="320" w:lineRule="exact"/>
        <w:ind w:left="0" w:firstLine="1418"/>
        <w:jc w:val="both"/>
        <w:rPr>
          <w:rFonts w:ascii="Arial" w:hAnsi="Arial" w:cs="Arial"/>
        </w:rPr>
      </w:pPr>
    </w:p>
    <w:p w:rsidR="00E96944" w:rsidRPr="00D77812" w:rsidRDefault="00E96944" w:rsidP="006D4C54">
      <w:pPr>
        <w:pStyle w:val="ListParagraph"/>
        <w:spacing w:after="0" w:line="320" w:lineRule="exact"/>
        <w:ind w:left="0" w:firstLine="1418"/>
        <w:jc w:val="both"/>
        <w:rPr>
          <w:rFonts w:ascii="Arial" w:hAnsi="Arial" w:cs="Arial"/>
        </w:rPr>
      </w:pPr>
      <w:r w:rsidRPr="00D77812">
        <w:rPr>
          <w:rFonts w:ascii="Arial" w:hAnsi="Arial" w:cs="Arial"/>
        </w:rPr>
        <w:t>Da análise da Decisão 432/2015-CONSUN, verifica-se que a norma contida no §1º do seu artigo 7º (“</w:t>
      </w:r>
      <w:r w:rsidRPr="00D77812">
        <w:rPr>
          <w:rFonts w:ascii="Arial" w:hAnsi="Arial" w:cs="Arial"/>
          <w:i/>
        </w:rPr>
        <w:t>o Parecer será submetido ao Reitor para, se concordar, emitir Portaria</w:t>
      </w:r>
      <w:r w:rsidRPr="00D77812">
        <w:rPr>
          <w:rFonts w:ascii="Arial" w:hAnsi="Arial" w:cs="Arial"/>
        </w:rPr>
        <w:t xml:space="preserve">”) contém </w:t>
      </w:r>
      <w:r w:rsidRPr="00D77812">
        <w:rPr>
          <w:rFonts w:ascii="Arial" w:hAnsi="Arial" w:cs="Arial"/>
          <w:b/>
        </w:rPr>
        <w:t>discricionariedade</w:t>
      </w:r>
      <w:r w:rsidRPr="00D77812">
        <w:rPr>
          <w:rFonts w:ascii="Arial" w:hAnsi="Arial" w:cs="Arial"/>
        </w:rPr>
        <w:t xml:space="preserve"> </w:t>
      </w:r>
      <w:r w:rsidRPr="00D77812">
        <w:rPr>
          <w:rFonts w:ascii="Arial" w:hAnsi="Arial" w:cs="Arial"/>
          <w:b/>
        </w:rPr>
        <w:t xml:space="preserve">quanto ao mérito </w:t>
      </w:r>
      <w:r w:rsidRPr="00D77812">
        <w:rPr>
          <w:rFonts w:ascii="Arial" w:hAnsi="Arial" w:cs="Arial"/>
        </w:rPr>
        <w:t xml:space="preserve">(concordar ou não concordar), mas obrigatória </w:t>
      </w:r>
      <w:r w:rsidRPr="00D77812">
        <w:rPr>
          <w:rFonts w:ascii="Arial" w:hAnsi="Arial" w:cs="Arial"/>
          <w:b/>
        </w:rPr>
        <w:t>vinculação quanto à necessidade de decidir</w:t>
      </w:r>
      <w:r w:rsidRPr="00D77812">
        <w:rPr>
          <w:rFonts w:ascii="Arial" w:hAnsi="Arial" w:cs="Arial"/>
        </w:rPr>
        <w:t>.</w:t>
      </w:r>
    </w:p>
    <w:p w:rsidR="00E96944" w:rsidRPr="00D77812" w:rsidRDefault="00E96944" w:rsidP="006D4C54">
      <w:pPr>
        <w:pStyle w:val="ListParagraph"/>
        <w:spacing w:after="0" w:line="320" w:lineRule="exact"/>
        <w:ind w:left="0" w:firstLine="1418"/>
        <w:jc w:val="both"/>
        <w:rPr>
          <w:rFonts w:ascii="Arial" w:hAnsi="Arial" w:cs="Arial"/>
        </w:rPr>
      </w:pPr>
    </w:p>
    <w:p w:rsidR="00E96944" w:rsidRPr="00D77812" w:rsidRDefault="00E96944" w:rsidP="000917EE">
      <w:pPr>
        <w:pStyle w:val="ListParagraph"/>
        <w:spacing w:after="0" w:line="320" w:lineRule="exact"/>
        <w:ind w:left="0" w:firstLine="1418"/>
        <w:jc w:val="both"/>
        <w:rPr>
          <w:rFonts w:ascii="Arial" w:hAnsi="Arial" w:cs="Arial"/>
        </w:rPr>
      </w:pPr>
      <w:r w:rsidRPr="00D77812">
        <w:rPr>
          <w:rFonts w:ascii="Arial" w:hAnsi="Arial" w:cs="Arial"/>
        </w:rPr>
        <w:t xml:space="preserve">O que pode se notar é que, em verdade, o ato do Reitor acaba por se traduzir em uma </w:t>
      </w:r>
      <w:r w:rsidRPr="00D77812">
        <w:rPr>
          <w:rFonts w:ascii="Arial" w:hAnsi="Arial" w:cs="Arial"/>
          <w:b/>
        </w:rPr>
        <w:t>ilegal resistência injustificada aos processos de flexibilização</w:t>
      </w:r>
      <w:r w:rsidRPr="00D77812">
        <w:rPr>
          <w:rFonts w:ascii="Arial" w:hAnsi="Arial" w:cs="Arial"/>
        </w:rPr>
        <w:t>, seja retardando os já existentes, seja alterando as normas que orientaria a apreciação destes.</w:t>
      </w:r>
    </w:p>
    <w:p w:rsidR="00E96944" w:rsidRPr="00D77812" w:rsidRDefault="00E96944" w:rsidP="000917EE">
      <w:pPr>
        <w:pStyle w:val="ListParagraph"/>
        <w:spacing w:after="0" w:line="320" w:lineRule="exact"/>
        <w:ind w:left="0" w:firstLine="1418"/>
        <w:jc w:val="both"/>
        <w:rPr>
          <w:rFonts w:ascii="Arial" w:hAnsi="Arial" w:cs="Arial"/>
        </w:rPr>
      </w:pPr>
    </w:p>
    <w:p w:rsidR="00E96944" w:rsidRPr="00D77812" w:rsidRDefault="00E96944" w:rsidP="000917EE">
      <w:pPr>
        <w:pStyle w:val="ListParagraph"/>
        <w:spacing w:after="0" w:line="320" w:lineRule="exact"/>
        <w:ind w:left="0" w:firstLine="1418"/>
        <w:jc w:val="both"/>
        <w:rPr>
          <w:rFonts w:ascii="Arial" w:hAnsi="Arial" w:cs="Arial"/>
        </w:rPr>
      </w:pPr>
      <w:r w:rsidRPr="00D77812">
        <w:rPr>
          <w:rFonts w:ascii="Arial" w:hAnsi="Arial" w:cs="Arial"/>
        </w:rPr>
        <w:t>Aliás, cumpre advertir que opor resistência injustificada ao andamento de processos administrativos pode ser considerado tanto como ato de improbidade como violação de proibição funcional. Veja-se:</w:t>
      </w:r>
    </w:p>
    <w:p w:rsidR="00E96944" w:rsidRPr="00D77812" w:rsidRDefault="00E96944" w:rsidP="000917EE">
      <w:pPr>
        <w:pStyle w:val="ListParagraph"/>
        <w:spacing w:after="0" w:line="320" w:lineRule="exact"/>
        <w:ind w:left="0" w:firstLine="1418"/>
        <w:jc w:val="both"/>
        <w:rPr>
          <w:rFonts w:ascii="Arial" w:hAnsi="Arial" w:cs="Arial"/>
        </w:rPr>
      </w:pPr>
    </w:p>
    <w:p w:rsidR="00E96944" w:rsidRPr="00D77812" w:rsidRDefault="00E96944" w:rsidP="005C64CB">
      <w:pPr>
        <w:pStyle w:val="ListParagraph"/>
        <w:spacing w:after="0" w:line="240" w:lineRule="auto"/>
        <w:ind w:left="1418"/>
        <w:jc w:val="both"/>
        <w:rPr>
          <w:rFonts w:ascii="Arial" w:hAnsi="Arial" w:cs="Arial"/>
          <w:b/>
          <w:sz w:val="20"/>
        </w:rPr>
      </w:pPr>
      <w:r w:rsidRPr="00D77812">
        <w:rPr>
          <w:rFonts w:ascii="Arial" w:hAnsi="Arial" w:cs="Arial"/>
          <w:b/>
          <w:sz w:val="20"/>
        </w:rPr>
        <w:t>Lei de improbidade administrativa (Lei 8.429/92)</w:t>
      </w:r>
    </w:p>
    <w:p w:rsidR="00E96944" w:rsidRPr="00D77812" w:rsidRDefault="00E96944" w:rsidP="005C64CB">
      <w:pPr>
        <w:pStyle w:val="ListParagraph"/>
        <w:spacing w:after="0" w:line="240" w:lineRule="auto"/>
        <w:ind w:left="1418"/>
        <w:jc w:val="both"/>
        <w:rPr>
          <w:rFonts w:ascii="Arial" w:hAnsi="Arial" w:cs="Arial"/>
          <w:sz w:val="20"/>
        </w:rPr>
      </w:pPr>
      <w:r w:rsidRPr="00D77812">
        <w:rPr>
          <w:rFonts w:ascii="Arial" w:hAnsi="Arial" w:cs="Arial"/>
          <w:sz w:val="20"/>
        </w:rPr>
        <w:t>Art. 11. Constitui ato de improbidade administrativa que atenta contra os princípios da administração pública qualquer ação ou omissão que viole os deveres de honestidade, imparcialidade, legalidade, e lealdade às instituições, e notadamente:</w:t>
      </w:r>
    </w:p>
    <w:p w:rsidR="00E96944" w:rsidRPr="00D77812" w:rsidRDefault="00E96944" w:rsidP="005C64CB">
      <w:pPr>
        <w:pStyle w:val="ListParagraph"/>
        <w:spacing w:after="0" w:line="240" w:lineRule="auto"/>
        <w:ind w:left="1418"/>
        <w:jc w:val="both"/>
        <w:rPr>
          <w:rFonts w:ascii="Arial" w:hAnsi="Arial" w:cs="Arial"/>
          <w:sz w:val="20"/>
        </w:rPr>
      </w:pPr>
      <w:r w:rsidRPr="00D77812">
        <w:rPr>
          <w:rFonts w:ascii="Arial" w:hAnsi="Arial" w:cs="Arial"/>
          <w:sz w:val="20"/>
        </w:rPr>
        <w:t>(...)</w:t>
      </w:r>
    </w:p>
    <w:p w:rsidR="00E96944" w:rsidRPr="00D77812" w:rsidRDefault="00E96944" w:rsidP="005C64CB">
      <w:pPr>
        <w:pStyle w:val="ListParagraph"/>
        <w:spacing w:after="0" w:line="240" w:lineRule="auto"/>
        <w:ind w:left="1418"/>
        <w:jc w:val="both"/>
        <w:rPr>
          <w:rFonts w:ascii="Arial" w:hAnsi="Arial" w:cs="Arial"/>
          <w:sz w:val="20"/>
        </w:rPr>
      </w:pPr>
      <w:r w:rsidRPr="00D77812">
        <w:rPr>
          <w:rFonts w:ascii="Arial" w:hAnsi="Arial" w:cs="Arial"/>
          <w:sz w:val="20"/>
        </w:rPr>
        <w:t>II - retardar ou deixar de praticar, indevidamente, ato de ofício;</w:t>
      </w:r>
    </w:p>
    <w:p w:rsidR="00E96944" w:rsidRPr="00D77812" w:rsidRDefault="00E96944" w:rsidP="005C64CB">
      <w:pPr>
        <w:pStyle w:val="ListParagraph"/>
        <w:spacing w:after="0" w:line="240" w:lineRule="auto"/>
        <w:ind w:left="1418"/>
        <w:jc w:val="both"/>
        <w:rPr>
          <w:rFonts w:ascii="Arial" w:hAnsi="Arial" w:cs="Arial"/>
          <w:sz w:val="20"/>
        </w:rPr>
      </w:pPr>
    </w:p>
    <w:p w:rsidR="00E96944" w:rsidRPr="00D77812" w:rsidRDefault="00E96944" w:rsidP="004D76AA">
      <w:pPr>
        <w:pStyle w:val="ListParagraph"/>
        <w:spacing w:after="0" w:line="240" w:lineRule="auto"/>
        <w:ind w:left="1418"/>
        <w:jc w:val="both"/>
        <w:rPr>
          <w:rFonts w:ascii="Arial" w:hAnsi="Arial" w:cs="Arial"/>
          <w:b/>
          <w:sz w:val="20"/>
        </w:rPr>
      </w:pPr>
      <w:r w:rsidRPr="00D77812">
        <w:rPr>
          <w:rFonts w:ascii="Arial" w:hAnsi="Arial" w:cs="Arial"/>
          <w:b/>
          <w:sz w:val="20"/>
        </w:rPr>
        <w:t>Regime jurídico dos servidores públicos civis da União, das autarquias e das fundações públicas federais (Lei 8.112/90)</w:t>
      </w:r>
    </w:p>
    <w:p w:rsidR="00E96944" w:rsidRPr="00D77812" w:rsidRDefault="00E96944" w:rsidP="004D76AA">
      <w:pPr>
        <w:pStyle w:val="ListParagraph"/>
        <w:spacing w:after="0"/>
        <w:ind w:left="1418"/>
        <w:jc w:val="both"/>
        <w:rPr>
          <w:rFonts w:ascii="Arial" w:hAnsi="Arial" w:cs="Arial"/>
          <w:sz w:val="20"/>
        </w:rPr>
      </w:pPr>
      <w:r w:rsidRPr="00D77812">
        <w:rPr>
          <w:rFonts w:ascii="Arial" w:hAnsi="Arial" w:cs="Arial"/>
          <w:sz w:val="20"/>
        </w:rPr>
        <w:t xml:space="preserve">Art. 117.  Ao servidor é proibido:  </w:t>
      </w:r>
    </w:p>
    <w:p w:rsidR="00E96944" w:rsidRPr="00D77812" w:rsidRDefault="00E96944" w:rsidP="004D76AA">
      <w:pPr>
        <w:pStyle w:val="ListParagraph"/>
        <w:spacing w:after="0"/>
        <w:ind w:left="1418"/>
        <w:jc w:val="both"/>
        <w:rPr>
          <w:rFonts w:ascii="Arial" w:hAnsi="Arial" w:cs="Arial"/>
          <w:sz w:val="20"/>
        </w:rPr>
      </w:pPr>
      <w:r w:rsidRPr="00D77812">
        <w:rPr>
          <w:rFonts w:ascii="Arial" w:hAnsi="Arial" w:cs="Arial"/>
          <w:sz w:val="20"/>
        </w:rPr>
        <w:t>(...)</w:t>
      </w:r>
    </w:p>
    <w:p w:rsidR="00E96944" w:rsidRPr="00D77812" w:rsidRDefault="00E96944" w:rsidP="004D76AA">
      <w:pPr>
        <w:pStyle w:val="ListParagraph"/>
        <w:spacing w:after="0"/>
        <w:ind w:left="1418"/>
        <w:jc w:val="both"/>
        <w:rPr>
          <w:rFonts w:ascii="Arial" w:hAnsi="Arial" w:cs="Arial"/>
          <w:sz w:val="20"/>
        </w:rPr>
      </w:pPr>
      <w:bookmarkStart w:id="0" w:name="art117iv"/>
      <w:bookmarkEnd w:id="0"/>
      <w:r w:rsidRPr="00D77812">
        <w:rPr>
          <w:rFonts w:ascii="Arial" w:hAnsi="Arial" w:cs="Arial"/>
          <w:sz w:val="20"/>
        </w:rPr>
        <w:t>IV - opor resistência injustificada ao andamento de documento e processo ou execução de serviço;</w:t>
      </w:r>
    </w:p>
    <w:p w:rsidR="00E96944" w:rsidRPr="00D77812" w:rsidRDefault="00E96944" w:rsidP="005C64CB">
      <w:pPr>
        <w:pStyle w:val="ListParagraph"/>
        <w:spacing w:after="0" w:line="240" w:lineRule="auto"/>
        <w:ind w:left="1418"/>
        <w:jc w:val="both"/>
        <w:rPr>
          <w:rFonts w:ascii="Arial" w:hAnsi="Arial" w:cs="Arial"/>
          <w:sz w:val="20"/>
        </w:rPr>
      </w:pPr>
    </w:p>
    <w:p w:rsidR="00E96944" w:rsidRPr="00D77812" w:rsidRDefault="00E96944" w:rsidP="004D76AA">
      <w:pPr>
        <w:pStyle w:val="ListParagraph"/>
        <w:spacing w:after="0" w:line="320" w:lineRule="exact"/>
        <w:ind w:left="0" w:firstLine="1418"/>
        <w:jc w:val="both"/>
        <w:rPr>
          <w:rFonts w:ascii="Arial" w:hAnsi="Arial" w:cs="Arial"/>
        </w:rPr>
      </w:pPr>
      <w:r w:rsidRPr="00D77812">
        <w:rPr>
          <w:rFonts w:ascii="Arial" w:hAnsi="Arial" w:cs="Arial"/>
        </w:rPr>
        <w:t>O procedimento criado pela norma da Portaria analisada trata, em verdade, de desobrigar o agente a decidir - em desrespeito ao seu poder vinculado.</w:t>
      </w:r>
    </w:p>
    <w:p w:rsidR="00E96944" w:rsidRPr="00D77812" w:rsidRDefault="00E96944" w:rsidP="006D4C54">
      <w:pPr>
        <w:pStyle w:val="ListParagraph"/>
        <w:spacing w:after="0" w:line="320" w:lineRule="exact"/>
        <w:ind w:left="0" w:firstLine="1418"/>
        <w:jc w:val="both"/>
        <w:rPr>
          <w:rFonts w:ascii="Arial" w:hAnsi="Arial" w:cs="Arial"/>
        </w:rPr>
      </w:pPr>
    </w:p>
    <w:p w:rsidR="00E96944" w:rsidRPr="00D77812" w:rsidRDefault="00E96944" w:rsidP="005C0265">
      <w:pPr>
        <w:pStyle w:val="ListParagraph"/>
        <w:spacing w:after="0" w:line="320" w:lineRule="exact"/>
        <w:ind w:left="0" w:firstLine="1418"/>
        <w:jc w:val="both"/>
        <w:rPr>
          <w:rFonts w:ascii="Arial" w:hAnsi="Arial" w:cs="Arial"/>
          <w:b/>
        </w:rPr>
      </w:pPr>
      <w:r w:rsidRPr="00D77812">
        <w:rPr>
          <w:rFonts w:ascii="Arial" w:hAnsi="Arial" w:cs="Arial"/>
          <w:b/>
        </w:rPr>
        <w:t>4.5) Interferência na autonomia das unidades</w:t>
      </w:r>
    </w:p>
    <w:p w:rsidR="00E96944" w:rsidRPr="00D77812" w:rsidRDefault="00E96944" w:rsidP="005C0265">
      <w:pPr>
        <w:pStyle w:val="ListParagraph"/>
        <w:spacing w:after="0" w:line="320" w:lineRule="exact"/>
        <w:ind w:left="0" w:firstLine="1418"/>
        <w:jc w:val="both"/>
        <w:rPr>
          <w:rFonts w:ascii="Arial" w:hAnsi="Arial" w:cs="Arial"/>
          <w:b/>
        </w:rPr>
      </w:pPr>
    </w:p>
    <w:p w:rsidR="00E96944" w:rsidRPr="00D77812" w:rsidRDefault="00E96944" w:rsidP="005C0265">
      <w:pPr>
        <w:pStyle w:val="ListParagraph"/>
        <w:spacing w:after="0" w:line="320" w:lineRule="exact"/>
        <w:ind w:left="0" w:firstLine="1418"/>
        <w:jc w:val="both"/>
        <w:rPr>
          <w:rFonts w:ascii="Arial" w:hAnsi="Arial" w:cs="Arial"/>
        </w:rPr>
      </w:pPr>
      <w:r w:rsidRPr="00D77812">
        <w:rPr>
          <w:rFonts w:ascii="Arial" w:hAnsi="Arial" w:cs="Arial"/>
        </w:rPr>
        <w:t xml:space="preserve">Avançando na análise da Portaria em tela, verifica-se, ainda, possível infringência da mesma do Regimento Geral da Universidade. </w:t>
      </w:r>
    </w:p>
    <w:p w:rsidR="00E96944" w:rsidRPr="00D77812" w:rsidRDefault="00E96944" w:rsidP="005C0265">
      <w:pPr>
        <w:pStyle w:val="ListParagraph"/>
        <w:spacing w:after="0" w:line="320" w:lineRule="exact"/>
        <w:ind w:left="0" w:firstLine="1418"/>
        <w:jc w:val="both"/>
        <w:rPr>
          <w:rFonts w:ascii="Arial" w:hAnsi="Arial" w:cs="Arial"/>
        </w:rPr>
      </w:pPr>
    </w:p>
    <w:p w:rsidR="00E96944" w:rsidRPr="00D77812" w:rsidRDefault="00E96944" w:rsidP="005C0265">
      <w:pPr>
        <w:pStyle w:val="ListParagraph"/>
        <w:spacing w:after="0" w:line="320" w:lineRule="exact"/>
        <w:ind w:left="0" w:firstLine="1418"/>
        <w:jc w:val="both"/>
        <w:rPr>
          <w:rFonts w:ascii="Arial" w:hAnsi="Arial" w:cs="Arial"/>
        </w:rPr>
      </w:pPr>
      <w:r w:rsidRPr="00D77812">
        <w:rPr>
          <w:rFonts w:ascii="Arial" w:hAnsi="Arial" w:cs="Arial"/>
        </w:rPr>
        <w:t>Com efeito, preveem os §§2º, 3º e 4º do art. 10 da referida Portaria:</w:t>
      </w:r>
    </w:p>
    <w:p w:rsidR="00E96944" w:rsidRPr="00D77812" w:rsidRDefault="00E96944" w:rsidP="008D1226">
      <w:pPr>
        <w:pStyle w:val="ListParagraph"/>
        <w:spacing w:after="0" w:line="320" w:lineRule="exact"/>
        <w:ind w:left="0" w:firstLine="1418"/>
        <w:jc w:val="both"/>
        <w:rPr>
          <w:rFonts w:ascii="Arial" w:hAnsi="Arial" w:cs="Arial"/>
        </w:rPr>
      </w:pPr>
    </w:p>
    <w:p w:rsidR="00E96944" w:rsidRPr="00D77812" w:rsidRDefault="00E96944" w:rsidP="0009589E">
      <w:pPr>
        <w:pStyle w:val="ListParagraph"/>
        <w:spacing w:after="0" w:line="240" w:lineRule="auto"/>
        <w:ind w:left="1418" w:firstLine="11"/>
        <w:jc w:val="both"/>
        <w:rPr>
          <w:rFonts w:ascii="Arial" w:hAnsi="Arial" w:cs="Arial"/>
          <w:sz w:val="20"/>
        </w:rPr>
      </w:pPr>
      <w:r w:rsidRPr="00D77812">
        <w:rPr>
          <w:rFonts w:ascii="Arial" w:hAnsi="Arial" w:cs="Arial"/>
          <w:sz w:val="20"/>
        </w:rPr>
        <w:t xml:space="preserve">§2º </w:t>
      </w:r>
      <w:r w:rsidRPr="00D77812">
        <w:rPr>
          <w:rFonts w:ascii="Arial" w:hAnsi="Arial" w:cs="Arial"/>
          <w:b/>
          <w:sz w:val="20"/>
        </w:rPr>
        <w:t>A estrutura administrativa da unidade acadêmica ou órgão da Universidade não pode ser alterada para permitir a adoção da flexibilização da jornada de trabalho, não se admitindo a extinção, alteração ou criação de setores para esse fim</w:t>
      </w:r>
      <w:r w:rsidRPr="00D77812">
        <w:rPr>
          <w:rFonts w:ascii="Arial" w:hAnsi="Arial" w:cs="Arial"/>
          <w:sz w:val="20"/>
        </w:rPr>
        <w:t>.</w:t>
      </w:r>
    </w:p>
    <w:p w:rsidR="00E96944" w:rsidRPr="00D77812" w:rsidRDefault="00E96944" w:rsidP="0009589E">
      <w:pPr>
        <w:pStyle w:val="ListParagraph"/>
        <w:spacing w:after="0" w:line="240" w:lineRule="auto"/>
        <w:ind w:left="1418" w:firstLine="11"/>
        <w:jc w:val="both"/>
        <w:rPr>
          <w:rFonts w:ascii="Arial" w:hAnsi="Arial" w:cs="Arial"/>
          <w:sz w:val="20"/>
        </w:rPr>
      </w:pPr>
      <w:r w:rsidRPr="00D77812">
        <w:rPr>
          <w:rFonts w:ascii="Arial" w:hAnsi="Arial" w:cs="Arial"/>
          <w:sz w:val="20"/>
        </w:rPr>
        <w:t xml:space="preserve">§3º Para atendimento ao quantitativo mínimo de servidores em determinado setor, </w:t>
      </w:r>
      <w:r w:rsidRPr="00D77812">
        <w:rPr>
          <w:rFonts w:ascii="Arial" w:hAnsi="Arial" w:cs="Arial"/>
          <w:b/>
          <w:sz w:val="20"/>
        </w:rPr>
        <w:t>não poderá ser alterado o exercício de servidores da unidade acadêmica ou órgão da Universidade</w:t>
      </w:r>
      <w:r w:rsidRPr="00D77812">
        <w:rPr>
          <w:rFonts w:ascii="Arial" w:hAnsi="Arial" w:cs="Arial"/>
          <w:sz w:val="20"/>
        </w:rPr>
        <w:t>.</w:t>
      </w:r>
    </w:p>
    <w:p w:rsidR="00E96944" w:rsidRPr="00D77812" w:rsidRDefault="00E96944" w:rsidP="0009589E">
      <w:pPr>
        <w:pStyle w:val="ListParagraph"/>
        <w:spacing w:after="0" w:line="240" w:lineRule="auto"/>
        <w:ind w:left="1418" w:firstLine="11"/>
        <w:jc w:val="both"/>
        <w:rPr>
          <w:rFonts w:ascii="Arial" w:hAnsi="Arial" w:cs="Arial"/>
          <w:sz w:val="20"/>
        </w:rPr>
      </w:pPr>
      <w:r w:rsidRPr="00D77812">
        <w:rPr>
          <w:rFonts w:ascii="Arial" w:hAnsi="Arial" w:cs="Arial"/>
          <w:sz w:val="20"/>
        </w:rPr>
        <w:t xml:space="preserve">§4º A flexibilização da jornada de trabalho não pode ser adotada em setores que não possuam chefia imediata devidamente designada, </w:t>
      </w:r>
      <w:r w:rsidRPr="00D77812">
        <w:rPr>
          <w:rFonts w:ascii="Arial" w:hAnsi="Arial" w:cs="Arial"/>
          <w:b/>
          <w:sz w:val="20"/>
        </w:rPr>
        <w:t>sendo vedado o revezamento de servidores na ocupação das funções de chefia</w:t>
      </w:r>
      <w:r w:rsidRPr="00D77812">
        <w:rPr>
          <w:rFonts w:ascii="Arial" w:hAnsi="Arial" w:cs="Arial"/>
          <w:sz w:val="20"/>
        </w:rPr>
        <w:t>.</w:t>
      </w:r>
    </w:p>
    <w:p w:rsidR="00E96944" w:rsidRPr="00D77812" w:rsidRDefault="00E96944" w:rsidP="0009589E">
      <w:pPr>
        <w:pStyle w:val="ListParagraph"/>
        <w:spacing w:after="0" w:line="240" w:lineRule="auto"/>
        <w:ind w:left="1418" w:firstLine="11"/>
        <w:jc w:val="both"/>
        <w:rPr>
          <w:rFonts w:ascii="Arial" w:hAnsi="Arial" w:cs="Arial"/>
        </w:rPr>
      </w:pPr>
    </w:p>
    <w:p w:rsidR="00E96944" w:rsidRPr="00D77812" w:rsidRDefault="00E96944" w:rsidP="008D1226">
      <w:pPr>
        <w:pStyle w:val="ListParagraph"/>
        <w:spacing w:after="0" w:line="320" w:lineRule="exact"/>
        <w:ind w:left="0" w:firstLine="1418"/>
        <w:jc w:val="both"/>
        <w:rPr>
          <w:rFonts w:ascii="Arial" w:hAnsi="Arial" w:cs="Arial"/>
        </w:rPr>
      </w:pPr>
      <w:r w:rsidRPr="00D77812">
        <w:rPr>
          <w:rFonts w:ascii="Arial" w:hAnsi="Arial" w:cs="Arial"/>
        </w:rPr>
        <w:t xml:space="preserve">Todavia, a imposição por parte da Portaria de vedações e limitações à autonomia administrativa das unidades parece confrontar diretamente o art. 45 do </w:t>
      </w:r>
      <w:r w:rsidRPr="00D77812">
        <w:rPr>
          <w:rFonts w:ascii="Arial" w:hAnsi="Arial" w:cs="Arial"/>
          <w:b/>
        </w:rPr>
        <w:t>Regimento Geral</w:t>
      </w:r>
      <w:r w:rsidRPr="00D77812">
        <w:rPr>
          <w:rFonts w:ascii="Arial" w:hAnsi="Arial" w:cs="Arial"/>
        </w:rPr>
        <w:t xml:space="preserve"> da Universidade, </w:t>
      </w:r>
      <w:r w:rsidRPr="00D77812">
        <w:rPr>
          <w:rFonts w:ascii="Arial" w:hAnsi="Arial" w:cs="Arial"/>
          <w:i/>
        </w:rPr>
        <w:t>in verbis</w:t>
      </w:r>
      <w:r w:rsidRPr="00D77812">
        <w:rPr>
          <w:rFonts w:ascii="Arial" w:hAnsi="Arial" w:cs="Arial"/>
        </w:rPr>
        <w:t>:</w:t>
      </w:r>
    </w:p>
    <w:p w:rsidR="00E96944" w:rsidRPr="00D77812" w:rsidRDefault="00E96944" w:rsidP="000403C9">
      <w:pPr>
        <w:pStyle w:val="ListParagraph"/>
        <w:spacing w:after="0" w:line="240" w:lineRule="auto"/>
        <w:ind w:left="2127" w:firstLine="11"/>
        <w:jc w:val="both"/>
        <w:rPr>
          <w:rFonts w:ascii="Arial" w:hAnsi="Arial" w:cs="Arial"/>
          <w:sz w:val="20"/>
        </w:rPr>
      </w:pPr>
    </w:p>
    <w:p w:rsidR="00E96944" w:rsidRPr="00D77812" w:rsidRDefault="00E96944" w:rsidP="0009589E">
      <w:pPr>
        <w:pStyle w:val="ListParagraph"/>
        <w:spacing w:after="0" w:line="240" w:lineRule="auto"/>
        <w:ind w:left="1418" w:firstLine="11"/>
        <w:jc w:val="both"/>
        <w:rPr>
          <w:rFonts w:ascii="Arial" w:hAnsi="Arial" w:cs="Arial"/>
          <w:sz w:val="20"/>
        </w:rPr>
      </w:pPr>
      <w:r w:rsidRPr="00D77812">
        <w:rPr>
          <w:rFonts w:ascii="Arial" w:hAnsi="Arial" w:cs="Arial"/>
          <w:sz w:val="20"/>
        </w:rPr>
        <w:t xml:space="preserve">Art. 45 - </w:t>
      </w:r>
      <w:r w:rsidRPr="00D77812">
        <w:rPr>
          <w:rFonts w:ascii="Arial" w:hAnsi="Arial" w:cs="Arial"/>
          <w:b/>
          <w:sz w:val="20"/>
        </w:rPr>
        <w:t>As Unidades Universitárias estabelecerão, em seus Regimentos Internos, a</w:t>
      </w:r>
      <w:r w:rsidRPr="00D77812">
        <w:rPr>
          <w:rFonts w:ascii="Arial" w:hAnsi="Arial" w:cs="Arial"/>
          <w:sz w:val="20"/>
        </w:rPr>
        <w:t xml:space="preserve"> </w:t>
      </w:r>
      <w:r w:rsidRPr="00D77812">
        <w:rPr>
          <w:rFonts w:ascii="Arial" w:hAnsi="Arial" w:cs="Arial"/>
          <w:b/>
          <w:sz w:val="20"/>
        </w:rPr>
        <w:t>respectiva estrutura acadêmico-administrativa</w:t>
      </w:r>
      <w:r w:rsidRPr="00D77812">
        <w:rPr>
          <w:rFonts w:ascii="Arial" w:hAnsi="Arial" w:cs="Arial"/>
          <w:sz w:val="20"/>
        </w:rPr>
        <w:t>, sujeita às normas gerais do Estatuto e deste Regimento Geral.</w:t>
      </w:r>
    </w:p>
    <w:p w:rsidR="00E96944" w:rsidRPr="00D77812" w:rsidRDefault="00E96944" w:rsidP="004C3985">
      <w:pPr>
        <w:pStyle w:val="ListParagraph"/>
        <w:spacing w:after="0" w:line="360" w:lineRule="auto"/>
        <w:ind w:left="0" w:firstLine="1418"/>
        <w:jc w:val="both"/>
        <w:rPr>
          <w:rFonts w:ascii="Arial" w:hAnsi="Arial" w:cs="Arial"/>
        </w:rPr>
      </w:pPr>
    </w:p>
    <w:p w:rsidR="00E96944" w:rsidRPr="00D77812" w:rsidRDefault="00E96944" w:rsidP="008D1226">
      <w:pPr>
        <w:pStyle w:val="ListParagraph"/>
        <w:spacing w:after="0" w:line="320" w:lineRule="exact"/>
        <w:ind w:left="0" w:firstLine="1418"/>
        <w:jc w:val="both"/>
        <w:rPr>
          <w:rFonts w:ascii="Arial" w:hAnsi="Arial" w:cs="Arial"/>
        </w:rPr>
      </w:pPr>
      <w:r w:rsidRPr="00D77812">
        <w:rPr>
          <w:rFonts w:ascii="Arial" w:hAnsi="Arial" w:cs="Arial"/>
        </w:rPr>
        <w:t>Como se vê, o Regimento Geral confere às Unidades Universitárias autonomia para - obviamente dentro dos limites do próprio Estatuto e do Regimento Geral - estabelecer a estrutura acadêmico-administrativa. Não poderia, pois, avançar a Portaria nessa autonomia, sob pena de violação do próprio princípio da legalidade, por não conformação jurídica.</w:t>
      </w:r>
    </w:p>
    <w:p w:rsidR="00E96944" w:rsidRPr="00D77812" w:rsidRDefault="00E96944" w:rsidP="00FB153D">
      <w:pPr>
        <w:pStyle w:val="ListParagraph"/>
        <w:spacing w:after="0" w:line="360" w:lineRule="auto"/>
        <w:ind w:left="0" w:firstLine="1418"/>
        <w:jc w:val="both"/>
        <w:rPr>
          <w:rFonts w:ascii="Arial" w:hAnsi="Arial" w:cs="Arial"/>
        </w:rPr>
      </w:pPr>
    </w:p>
    <w:p w:rsidR="00E96944" w:rsidRPr="00D77812" w:rsidRDefault="00E96944" w:rsidP="00DC61E0">
      <w:pPr>
        <w:pStyle w:val="ListParagraph"/>
        <w:spacing w:after="0" w:line="320" w:lineRule="exact"/>
        <w:ind w:left="0" w:firstLine="1418"/>
        <w:jc w:val="both"/>
        <w:rPr>
          <w:rFonts w:ascii="Arial" w:hAnsi="Arial" w:cs="Arial"/>
        </w:rPr>
      </w:pPr>
      <w:r w:rsidRPr="00D77812">
        <w:rPr>
          <w:rFonts w:ascii="Arial" w:hAnsi="Arial" w:cs="Arial"/>
        </w:rPr>
        <w:t>Nesse sentido, cabe ressaltar que outras universidades federais implementaram jornada flexibilizada calcadas em sua autonomia e na legislação vigente, notadamente a Universidade Federal do Paraná, na qual o Ministério Público, após analise do procedimento, não apontou qualquer irregularidade ou impedimento legal para a implementação da jornada flexibilizada.</w:t>
      </w:r>
    </w:p>
    <w:p w:rsidR="00E96944" w:rsidRPr="00D77812" w:rsidRDefault="00E96944" w:rsidP="00FB153D">
      <w:pPr>
        <w:pStyle w:val="ListParagraph"/>
        <w:spacing w:after="0" w:line="360" w:lineRule="auto"/>
        <w:ind w:left="0" w:firstLine="1418"/>
        <w:jc w:val="both"/>
        <w:rPr>
          <w:rFonts w:ascii="Arial" w:hAnsi="Arial" w:cs="Arial"/>
        </w:rPr>
      </w:pPr>
    </w:p>
    <w:p w:rsidR="00E96944" w:rsidRPr="00D77812" w:rsidRDefault="00E96944" w:rsidP="004131F0">
      <w:pPr>
        <w:spacing w:after="0" w:line="360" w:lineRule="auto"/>
        <w:jc w:val="both"/>
        <w:rPr>
          <w:rFonts w:ascii="Arial" w:hAnsi="Arial" w:cs="Arial"/>
          <w:b/>
        </w:rPr>
      </w:pPr>
      <w:r w:rsidRPr="00D77812">
        <w:rPr>
          <w:rFonts w:ascii="Arial" w:hAnsi="Arial" w:cs="Arial"/>
          <w:b/>
        </w:rPr>
        <w:t>5) DA POSSIBILIDADE DE AÇÃO JUDICIAL</w:t>
      </w:r>
    </w:p>
    <w:p w:rsidR="00E96944" w:rsidRPr="00D77812" w:rsidRDefault="00E96944" w:rsidP="004131F0">
      <w:pPr>
        <w:spacing w:after="0" w:line="360" w:lineRule="auto"/>
        <w:jc w:val="both"/>
        <w:rPr>
          <w:rFonts w:ascii="Arial" w:hAnsi="Arial" w:cs="Arial"/>
        </w:rPr>
      </w:pPr>
    </w:p>
    <w:p w:rsidR="00E96944" w:rsidRPr="00D77812" w:rsidRDefault="00E96944" w:rsidP="008D1226">
      <w:pPr>
        <w:spacing w:after="0" w:line="320" w:lineRule="exact"/>
        <w:ind w:firstLine="1418"/>
        <w:jc w:val="both"/>
        <w:rPr>
          <w:rFonts w:ascii="Arial" w:hAnsi="Arial" w:cs="Arial"/>
        </w:rPr>
      </w:pPr>
      <w:r w:rsidRPr="00D77812">
        <w:rPr>
          <w:rFonts w:ascii="Arial" w:hAnsi="Arial" w:cs="Arial"/>
        </w:rPr>
        <w:t>Diante do apontado quadro fático-jurídico, havendo interesse fundado e legítimo, qualquer cidadão pode pleitear a anulação judicial de atos administrativos que não observam os requisitos de validade.</w:t>
      </w:r>
    </w:p>
    <w:p w:rsidR="00E96944" w:rsidRPr="00D77812" w:rsidRDefault="00E96944" w:rsidP="008D1226">
      <w:pPr>
        <w:spacing w:after="0" w:line="320" w:lineRule="exact"/>
        <w:ind w:firstLine="1418"/>
        <w:jc w:val="both"/>
        <w:rPr>
          <w:rFonts w:ascii="Arial" w:hAnsi="Arial" w:cs="Arial"/>
        </w:rPr>
      </w:pPr>
    </w:p>
    <w:p w:rsidR="00E96944" w:rsidRPr="00D77812" w:rsidRDefault="00E96944" w:rsidP="008D1226">
      <w:pPr>
        <w:spacing w:after="0" w:line="320" w:lineRule="exact"/>
        <w:ind w:firstLine="1418"/>
        <w:jc w:val="both"/>
        <w:rPr>
          <w:rFonts w:ascii="Arial" w:hAnsi="Arial" w:cs="Arial"/>
        </w:rPr>
      </w:pPr>
      <w:r w:rsidRPr="00D77812">
        <w:rPr>
          <w:rFonts w:ascii="Arial" w:hAnsi="Arial" w:cs="Arial"/>
        </w:rPr>
        <w:t>No caso em comento, a Portaria 3183 se encontra em clara dissonância em relação à normatização contida na Decisão 432/2015 do CONSUN, órgão cuja competência, na matéria, é superior. Dessa forma, a representação sindical dos servidores poderá ingressar com ação anulatória com intuito de fazer cessar a vigência da portaria referida e de todos os atos que a tenham como base legal.</w:t>
      </w:r>
    </w:p>
    <w:p w:rsidR="00E96944" w:rsidRPr="00D77812" w:rsidRDefault="00E96944" w:rsidP="008D1226">
      <w:pPr>
        <w:spacing w:after="0" w:line="320" w:lineRule="exact"/>
        <w:jc w:val="both"/>
        <w:rPr>
          <w:rFonts w:ascii="Arial" w:hAnsi="Arial" w:cs="Arial"/>
        </w:rPr>
      </w:pPr>
    </w:p>
    <w:sectPr w:rsidR="00E96944" w:rsidRPr="00D77812" w:rsidSect="002C5152">
      <w:headerReference w:type="default" r:id="rId7"/>
      <w:footerReference w:type="default" r:id="rId8"/>
      <w:pgSz w:w="11906" w:h="16838"/>
      <w:pgMar w:top="2155" w:right="845" w:bottom="141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944" w:rsidRDefault="00E96944" w:rsidP="002501DF">
      <w:pPr>
        <w:spacing w:after="0" w:line="240" w:lineRule="auto"/>
      </w:pPr>
      <w:r>
        <w:separator/>
      </w:r>
    </w:p>
  </w:endnote>
  <w:endnote w:type="continuationSeparator" w:id="0">
    <w:p w:rsidR="00E96944" w:rsidRDefault="00E96944" w:rsidP="002501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44" w:rsidRDefault="00E96944">
    <w:pPr>
      <w:pStyle w:val="Foote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0" type="#_x0000_t75" style="position:absolute;margin-left:0;margin-top:794.1pt;width:300.75pt;height:24.75pt;z-index:251662336;visibility:visible;mso-position-horizontal:center;mso-position-horizontal-relative:page;mso-position-vertical-relative:page">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944" w:rsidRDefault="00E96944" w:rsidP="002501DF">
      <w:pPr>
        <w:spacing w:after="0" w:line="240" w:lineRule="auto"/>
      </w:pPr>
      <w:r>
        <w:separator/>
      </w:r>
    </w:p>
  </w:footnote>
  <w:footnote w:type="continuationSeparator" w:id="0">
    <w:p w:rsidR="00E96944" w:rsidRDefault="00E96944" w:rsidP="002501DF">
      <w:pPr>
        <w:spacing w:after="0" w:line="240" w:lineRule="auto"/>
      </w:pPr>
      <w:r>
        <w:continuationSeparator/>
      </w:r>
    </w:p>
  </w:footnote>
  <w:footnote w:id="1">
    <w:p w:rsidR="00E96944" w:rsidRDefault="00E96944" w:rsidP="00ED3BDB">
      <w:pPr>
        <w:pStyle w:val="FootnoteText"/>
        <w:jc w:val="both"/>
      </w:pPr>
      <w:r w:rsidRPr="00502176">
        <w:rPr>
          <w:rStyle w:val="FootnoteReference"/>
          <w:rFonts w:ascii="Arial" w:hAnsi="Arial" w:cs="Arial"/>
          <w:sz w:val="18"/>
          <w:szCs w:val="18"/>
        </w:rPr>
        <w:footnoteRef/>
      </w:r>
      <w:r w:rsidRPr="00502176">
        <w:rPr>
          <w:rFonts w:ascii="Arial" w:hAnsi="Arial" w:cs="Arial"/>
          <w:sz w:val="18"/>
          <w:szCs w:val="18"/>
        </w:rPr>
        <w:t xml:space="preserve"> CRETELLA JÚNIOR, José. </w:t>
      </w:r>
      <w:r w:rsidRPr="00502176">
        <w:rPr>
          <w:rFonts w:ascii="Arial" w:hAnsi="Arial" w:cs="Arial"/>
          <w:b/>
          <w:sz w:val="18"/>
          <w:szCs w:val="18"/>
        </w:rPr>
        <w:t>Dicionário de Direito Administrativo</w:t>
      </w:r>
      <w:r w:rsidRPr="00502176">
        <w:rPr>
          <w:rFonts w:ascii="Arial" w:hAnsi="Arial" w:cs="Arial"/>
          <w:sz w:val="18"/>
          <w:szCs w:val="18"/>
        </w:rPr>
        <w:t>. 5ª ed. rev. e aumentada. Rio de Janeiro: Forense, 1999. p. 352.</w:t>
      </w:r>
    </w:p>
  </w:footnote>
  <w:footnote w:id="2">
    <w:p w:rsidR="00E96944" w:rsidRDefault="00E96944" w:rsidP="002C5152">
      <w:pPr>
        <w:pStyle w:val="FootnoteText"/>
        <w:jc w:val="both"/>
      </w:pPr>
      <w:r w:rsidRPr="00502176">
        <w:rPr>
          <w:rStyle w:val="FootnoteReference"/>
          <w:rFonts w:ascii="Arial" w:hAnsi="Arial" w:cs="Arial"/>
          <w:sz w:val="18"/>
          <w:szCs w:val="18"/>
        </w:rPr>
        <w:footnoteRef/>
      </w:r>
      <w:r w:rsidRPr="00502176">
        <w:rPr>
          <w:rFonts w:ascii="Arial" w:hAnsi="Arial" w:cs="Arial"/>
          <w:sz w:val="18"/>
          <w:szCs w:val="18"/>
        </w:rPr>
        <w:t xml:space="preserve"> ENTERRÍA, Eduardo García de. FERNÁNDEZ, Tomás-Ramón. </w:t>
      </w:r>
      <w:r w:rsidRPr="00502176">
        <w:rPr>
          <w:rFonts w:ascii="Arial" w:hAnsi="Arial" w:cs="Arial"/>
          <w:b/>
          <w:sz w:val="18"/>
          <w:szCs w:val="18"/>
        </w:rPr>
        <w:t>Curso de Derecho Administrativo I</w:t>
      </w:r>
      <w:r w:rsidRPr="00502176">
        <w:rPr>
          <w:rFonts w:ascii="Arial" w:hAnsi="Arial" w:cs="Arial"/>
          <w:sz w:val="18"/>
          <w:szCs w:val="18"/>
        </w:rPr>
        <w:t>. Octava Edición. Madrid: Editora Civitas, 1998. p. 541.</w:t>
      </w:r>
    </w:p>
  </w:footnote>
  <w:footnote w:id="3">
    <w:p w:rsidR="00E96944" w:rsidRDefault="00E96944" w:rsidP="002C5152">
      <w:pPr>
        <w:pStyle w:val="FootnoteText"/>
        <w:jc w:val="both"/>
      </w:pPr>
      <w:r w:rsidRPr="00502176">
        <w:rPr>
          <w:rStyle w:val="FootnoteReference"/>
          <w:rFonts w:ascii="Arial" w:hAnsi="Arial" w:cs="Arial"/>
          <w:sz w:val="18"/>
          <w:szCs w:val="18"/>
        </w:rPr>
        <w:footnoteRef/>
      </w:r>
      <w:r w:rsidRPr="00502176">
        <w:rPr>
          <w:rFonts w:ascii="Arial" w:hAnsi="Arial" w:cs="Arial"/>
          <w:sz w:val="18"/>
          <w:szCs w:val="18"/>
        </w:rPr>
        <w:t xml:space="preserve"> MELO, Celso Antônio Bandeira de. </w:t>
      </w:r>
      <w:r w:rsidRPr="00502176">
        <w:rPr>
          <w:rFonts w:ascii="Arial" w:hAnsi="Arial" w:cs="Arial"/>
          <w:b/>
          <w:sz w:val="18"/>
          <w:szCs w:val="18"/>
        </w:rPr>
        <w:t>Ato administrativo e direitos dos administrados</w:t>
      </w:r>
      <w:r w:rsidRPr="00502176">
        <w:rPr>
          <w:rFonts w:ascii="Arial" w:hAnsi="Arial" w:cs="Arial"/>
          <w:sz w:val="18"/>
          <w:szCs w:val="18"/>
        </w:rPr>
        <w:t>. São Paulo: Ed. Revista dos Tribunais, 1981. p.19</w:t>
      </w:r>
    </w:p>
  </w:footnote>
  <w:footnote w:id="4">
    <w:p w:rsidR="00E96944" w:rsidRDefault="00E96944">
      <w:pPr>
        <w:pStyle w:val="FootnoteText"/>
      </w:pPr>
      <w:r w:rsidRPr="00502176">
        <w:rPr>
          <w:rStyle w:val="FootnoteReference"/>
          <w:rFonts w:ascii="Arial" w:hAnsi="Arial" w:cs="Arial"/>
          <w:sz w:val="18"/>
          <w:szCs w:val="18"/>
        </w:rPr>
        <w:footnoteRef/>
      </w:r>
      <w:r w:rsidRPr="00502176">
        <w:rPr>
          <w:rFonts w:ascii="Arial" w:hAnsi="Arial" w:cs="Arial"/>
          <w:sz w:val="18"/>
          <w:szCs w:val="18"/>
        </w:rPr>
        <w:t xml:space="preserve"> </w:t>
      </w:r>
      <w:r w:rsidRPr="00D37F06">
        <w:rPr>
          <w:rFonts w:ascii="Arial" w:hAnsi="Arial" w:cs="Arial"/>
          <w:sz w:val="18"/>
          <w:szCs w:val="18"/>
        </w:rPr>
        <w:t xml:space="preserve">BANDEIRA DE MELLO, Celso Antônio. </w:t>
      </w:r>
      <w:r w:rsidRPr="00D37F06">
        <w:rPr>
          <w:rFonts w:ascii="Arial" w:hAnsi="Arial" w:cs="Arial"/>
          <w:b/>
          <w:sz w:val="18"/>
          <w:szCs w:val="18"/>
        </w:rPr>
        <w:t>Curso de Direito Administrativo</w:t>
      </w:r>
      <w:r w:rsidRPr="00D37F06">
        <w:rPr>
          <w:rFonts w:ascii="Arial" w:hAnsi="Arial" w:cs="Arial"/>
          <w:sz w:val="18"/>
          <w:szCs w:val="18"/>
        </w:rPr>
        <w:t>. 12ª ed. São Paulo: Malheiros, 1999. P.71.</w:t>
      </w:r>
    </w:p>
  </w:footnote>
  <w:footnote w:id="5">
    <w:p w:rsidR="00E96944" w:rsidRDefault="00E96944" w:rsidP="00502176">
      <w:pPr>
        <w:pStyle w:val="FootnoteText"/>
        <w:jc w:val="both"/>
      </w:pPr>
      <w:r w:rsidRPr="00502176">
        <w:rPr>
          <w:rStyle w:val="FootnoteReference"/>
          <w:rFonts w:ascii="Arial" w:hAnsi="Arial" w:cs="Arial"/>
          <w:sz w:val="18"/>
          <w:szCs w:val="18"/>
        </w:rPr>
        <w:footnoteRef/>
      </w:r>
      <w:r w:rsidRPr="00502176">
        <w:rPr>
          <w:rFonts w:ascii="Arial" w:hAnsi="Arial" w:cs="Arial"/>
          <w:sz w:val="18"/>
          <w:szCs w:val="18"/>
        </w:rPr>
        <w:t xml:space="preserve"> DEMICHEL, André. </w:t>
      </w:r>
      <w:r w:rsidRPr="00502176">
        <w:rPr>
          <w:rFonts w:ascii="Arial" w:hAnsi="Arial" w:cs="Arial"/>
          <w:b/>
          <w:sz w:val="18"/>
          <w:szCs w:val="18"/>
        </w:rPr>
        <w:t>Le droit administratif: essai de refléxion théorique</w:t>
      </w:r>
      <w:r w:rsidRPr="00502176">
        <w:rPr>
          <w:rFonts w:ascii="Arial" w:hAnsi="Arial" w:cs="Arial"/>
          <w:sz w:val="18"/>
          <w:szCs w:val="18"/>
        </w:rPr>
        <w:t>. Paris: Lib. Generale de Droit et de Jurisprudence, 1978. p. 89-94.</w:t>
      </w:r>
    </w:p>
  </w:footnote>
  <w:footnote w:id="6">
    <w:p w:rsidR="00E96944" w:rsidRDefault="00E96944" w:rsidP="00053398">
      <w:pPr>
        <w:spacing w:after="0"/>
      </w:pPr>
      <w:r w:rsidRPr="00502176">
        <w:rPr>
          <w:rStyle w:val="FootnoteReference"/>
          <w:rFonts w:ascii="Arial" w:hAnsi="Arial" w:cs="Arial"/>
          <w:sz w:val="18"/>
          <w:szCs w:val="18"/>
        </w:rPr>
        <w:footnoteRef/>
      </w:r>
      <w:r w:rsidRPr="00502176">
        <w:rPr>
          <w:rFonts w:ascii="Arial" w:hAnsi="Arial" w:cs="Arial"/>
          <w:sz w:val="18"/>
          <w:szCs w:val="18"/>
        </w:rPr>
        <w:t xml:space="preserve"> MELLO, Celso Antônio Bandeira.</w:t>
      </w:r>
      <w:r w:rsidRPr="00502176">
        <w:rPr>
          <w:rFonts w:ascii="Arial" w:hAnsi="Arial" w:cs="Arial"/>
          <w:b/>
          <w:sz w:val="18"/>
          <w:szCs w:val="18"/>
        </w:rPr>
        <w:t xml:space="preserve"> in “Curso de Direito Administrativo”</w:t>
      </w:r>
      <w:r w:rsidRPr="00502176">
        <w:rPr>
          <w:rFonts w:ascii="Arial" w:hAnsi="Arial" w:cs="Arial"/>
          <w:sz w:val="18"/>
          <w:szCs w:val="18"/>
        </w:rPr>
        <w:t>, Malheiros Editores, 6ª edição, pág. 180.</w:t>
      </w:r>
    </w:p>
  </w:footnote>
  <w:footnote w:id="7">
    <w:p w:rsidR="00E96944" w:rsidRDefault="00E96944" w:rsidP="00053398">
      <w:pPr>
        <w:pStyle w:val="FootnoteText"/>
      </w:pPr>
      <w:r w:rsidRPr="00502176">
        <w:rPr>
          <w:rStyle w:val="FootnoteReference"/>
          <w:rFonts w:ascii="Arial" w:hAnsi="Arial" w:cs="Arial"/>
          <w:sz w:val="18"/>
          <w:szCs w:val="18"/>
        </w:rPr>
        <w:footnoteRef/>
      </w:r>
      <w:r w:rsidRPr="00502176">
        <w:rPr>
          <w:rFonts w:ascii="Arial" w:hAnsi="Arial" w:cs="Arial"/>
          <w:sz w:val="18"/>
          <w:szCs w:val="18"/>
        </w:rPr>
        <w:t xml:space="preserve"> </w:t>
      </w:r>
      <w:r w:rsidRPr="00502176">
        <w:rPr>
          <w:rFonts w:ascii="Arial" w:hAnsi="Arial" w:cs="Arial"/>
          <w:i/>
          <w:sz w:val="18"/>
          <w:szCs w:val="18"/>
        </w:rPr>
        <w:t>Art. 2º. A flexibilização da jornada de trabalho constitui medida excepcional...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944" w:rsidRDefault="00E96944">
    <w:pPr>
      <w:pStyle w:val="Heade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style="position:absolute;margin-left:0;margin-top:14.2pt;width:191.05pt;height:72.05pt;z-index:251660288;visibility:visible;mso-position-horizontal:center;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A13B4"/>
    <w:multiLevelType w:val="hybridMultilevel"/>
    <w:tmpl w:val="017C54FE"/>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6A016C57"/>
    <w:multiLevelType w:val="hybridMultilevel"/>
    <w:tmpl w:val="5086847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68B"/>
    <w:rsid w:val="00032A22"/>
    <w:rsid w:val="000403C9"/>
    <w:rsid w:val="00053398"/>
    <w:rsid w:val="000917EE"/>
    <w:rsid w:val="0009589E"/>
    <w:rsid w:val="000A243A"/>
    <w:rsid w:val="000A3F86"/>
    <w:rsid w:val="000A5A5F"/>
    <w:rsid w:val="000B1FE7"/>
    <w:rsid w:val="000D52FF"/>
    <w:rsid w:val="000E15B3"/>
    <w:rsid w:val="00155DB1"/>
    <w:rsid w:val="001850F7"/>
    <w:rsid w:val="001B0CC9"/>
    <w:rsid w:val="001C3E9B"/>
    <w:rsid w:val="002131AB"/>
    <w:rsid w:val="002501DF"/>
    <w:rsid w:val="00264A6F"/>
    <w:rsid w:val="002A7AA6"/>
    <w:rsid w:val="002C5152"/>
    <w:rsid w:val="002E1D68"/>
    <w:rsid w:val="002F69C8"/>
    <w:rsid w:val="00306220"/>
    <w:rsid w:val="00344FDE"/>
    <w:rsid w:val="00395C29"/>
    <w:rsid w:val="004131F0"/>
    <w:rsid w:val="004453A6"/>
    <w:rsid w:val="004A3226"/>
    <w:rsid w:val="004A48DE"/>
    <w:rsid w:val="004B402B"/>
    <w:rsid w:val="004B68B7"/>
    <w:rsid w:val="004C2974"/>
    <w:rsid w:val="004C3985"/>
    <w:rsid w:val="004D36A2"/>
    <w:rsid w:val="004D76AA"/>
    <w:rsid w:val="004F2DCB"/>
    <w:rsid w:val="00502176"/>
    <w:rsid w:val="00545347"/>
    <w:rsid w:val="00552E34"/>
    <w:rsid w:val="00580DEC"/>
    <w:rsid w:val="00581139"/>
    <w:rsid w:val="00590A40"/>
    <w:rsid w:val="005A1586"/>
    <w:rsid w:val="005A6145"/>
    <w:rsid w:val="005C0265"/>
    <w:rsid w:val="005C56AF"/>
    <w:rsid w:val="005C64CB"/>
    <w:rsid w:val="005D68A0"/>
    <w:rsid w:val="006169E2"/>
    <w:rsid w:val="00631F97"/>
    <w:rsid w:val="006630A8"/>
    <w:rsid w:val="00673B73"/>
    <w:rsid w:val="006863FA"/>
    <w:rsid w:val="00694E22"/>
    <w:rsid w:val="006954DC"/>
    <w:rsid w:val="006A5942"/>
    <w:rsid w:val="006D4C54"/>
    <w:rsid w:val="006F33D7"/>
    <w:rsid w:val="00715B42"/>
    <w:rsid w:val="00733EDE"/>
    <w:rsid w:val="00793D82"/>
    <w:rsid w:val="007950BC"/>
    <w:rsid w:val="007D471F"/>
    <w:rsid w:val="007D4955"/>
    <w:rsid w:val="008019EB"/>
    <w:rsid w:val="00816F4C"/>
    <w:rsid w:val="0083151C"/>
    <w:rsid w:val="00841C3B"/>
    <w:rsid w:val="008565C7"/>
    <w:rsid w:val="008567BD"/>
    <w:rsid w:val="008802F7"/>
    <w:rsid w:val="00891065"/>
    <w:rsid w:val="008C79E2"/>
    <w:rsid w:val="008D1226"/>
    <w:rsid w:val="008D4580"/>
    <w:rsid w:val="008D5D6F"/>
    <w:rsid w:val="008F56AC"/>
    <w:rsid w:val="00900DCF"/>
    <w:rsid w:val="009250AD"/>
    <w:rsid w:val="0093374B"/>
    <w:rsid w:val="009B0240"/>
    <w:rsid w:val="009C6C73"/>
    <w:rsid w:val="009F268B"/>
    <w:rsid w:val="00A70926"/>
    <w:rsid w:val="00A75E90"/>
    <w:rsid w:val="00AC2D84"/>
    <w:rsid w:val="00AE2175"/>
    <w:rsid w:val="00AE7591"/>
    <w:rsid w:val="00B40F5C"/>
    <w:rsid w:val="00B42E49"/>
    <w:rsid w:val="00BA61F4"/>
    <w:rsid w:val="00BE41BD"/>
    <w:rsid w:val="00C14122"/>
    <w:rsid w:val="00C160F3"/>
    <w:rsid w:val="00C26283"/>
    <w:rsid w:val="00C2681D"/>
    <w:rsid w:val="00C50677"/>
    <w:rsid w:val="00C866CA"/>
    <w:rsid w:val="00CD52F1"/>
    <w:rsid w:val="00D14ACD"/>
    <w:rsid w:val="00D37F06"/>
    <w:rsid w:val="00D47717"/>
    <w:rsid w:val="00D554B9"/>
    <w:rsid w:val="00D7558B"/>
    <w:rsid w:val="00D77812"/>
    <w:rsid w:val="00D93E32"/>
    <w:rsid w:val="00D95E82"/>
    <w:rsid w:val="00D9701B"/>
    <w:rsid w:val="00DC61E0"/>
    <w:rsid w:val="00DF0F60"/>
    <w:rsid w:val="00E51D5F"/>
    <w:rsid w:val="00E96944"/>
    <w:rsid w:val="00EA7378"/>
    <w:rsid w:val="00ED3BDB"/>
    <w:rsid w:val="00EE3A42"/>
    <w:rsid w:val="00EE7383"/>
    <w:rsid w:val="00EF367B"/>
    <w:rsid w:val="00F262F6"/>
    <w:rsid w:val="00F2696F"/>
    <w:rsid w:val="00F33A17"/>
    <w:rsid w:val="00F8347B"/>
    <w:rsid w:val="00FB153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F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65C7"/>
    <w:pPr>
      <w:ind w:left="720"/>
      <w:contextualSpacing/>
    </w:pPr>
  </w:style>
  <w:style w:type="character" w:styleId="PlaceholderText">
    <w:name w:val="Placeholder Text"/>
    <w:basedOn w:val="DefaultParagraphFont"/>
    <w:uiPriority w:val="99"/>
    <w:semiHidden/>
    <w:rsid w:val="00CD52F1"/>
    <w:rPr>
      <w:rFonts w:cs="Times New Roman"/>
      <w:color w:val="808080"/>
    </w:rPr>
  </w:style>
  <w:style w:type="paragraph" w:styleId="BalloonText">
    <w:name w:val="Balloon Text"/>
    <w:basedOn w:val="Normal"/>
    <w:link w:val="BalloonTextChar"/>
    <w:uiPriority w:val="99"/>
    <w:semiHidden/>
    <w:rsid w:val="00CD5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52F1"/>
    <w:rPr>
      <w:rFonts w:ascii="Tahoma" w:hAnsi="Tahoma" w:cs="Tahoma"/>
      <w:sz w:val="16"/>
      <w:szCs w:val="16"/>
    </w:rPr>
  </w:style>
  <w:style w:type="paragraph" w:styleId="FootnoteText">
    <w:name w:val="footnote text"/>
    <w:basedOn w:val="Normal"/>
    <w:link w:val="FootnoteTextChar"/>
    <w:uiPriority w:val="99"/>
    <w:semiHidden/>
    <w:rsid w:val="002501D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501DF"/>
    <w:rPr>
      <w:rFonts w:cs="Times New Roman"/>
      <w:sz w:val="20"/>
      <w:szCs w:val="20"/>
    </w:rPr>
  </w:style>
  <w:style w:type="character" w:styleId="FootnoteReference">
    <w:name w:val="footnote reference"/>
    <w:basedOn w:val="DefaultParagraphFont"/>
    <w:uiPriority w:val="99"/>
    <w:semiHidden/>
    <w:rsid w:val="002501DF"/>
    <w:rPr>
      <w:rFonts w:cs="Times New Roman"/>
      <w:vertAlign w:val="superscript"/>
    </w:rPr>
  </w:style>
  <w:style w:type="paragraph" w:styleId="Header">
    <w:name w:val="header"/>
    <w:basedOn w:val="Normal"/>
    <w:link w:val="HeaderChar"/>
    <w:uiPriority w:val="99"/>
    <w:rsid w:val="00590A40"/>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590A40"/>
    <w:rPr>
      <w:rFonts w:cs="Times New Roman"/>
    </w:rPr>
  </w:style>
  <w:style w:type="paragraph" w:styleId="Footer">
    <w:name w:val="footer"/>
    <w:basedOn w:val="Normal"/>
    <w:link w:val="FooterChar"/>
    <w:uiPriority w:val="99"/>
    <w:rsid w:val="00590A40"/>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590A40"/>
    <w:rPr>
      <w:rFonts w:cs="Times New Roman"/>
    </w:rPr>
  </w:style>
  <w:style w:type="paragraph" w:styleId="Revision">
    <w:name w:val="Revision"/>
    <w:hidden/>
    <w:uiPriority w:val="99"/>
    <w:semiHidden/>
    <w:rsid w:val="00C2681D"/>
    <w:rPr>
      <w:lang w:eastAsia="en-US"/>
    </w:rPr>
  </w:style>
  <w:style w:type="character" w:styleId="Hyperlink">
    <w:name w:val="Hyperlink"/>
    <w:basedOn w:val="DefaultParagraphFont"/>
    <w:uiPriority w:val="99"/>
    <w:rsid w:val="004D76A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44831706">
      <w:marLeft w:val="0"/>
      <w:marRight w:val="0"/>
      <w:marTop w:val="0"/>
      <w:marBottom w:val="0"/>
      <w:divBdr>
        <w:top w:val="none" w:sz="0" w:space="0" w:color="auto"/>
        <w:left w:val="none" w:sz="0" w:space="0" w:color="auto"/>
        <w:bottom w:val="none" w:sz="0" w:space="0" w:color="auto"/>
        <w:right w:val="none" w:sz="0" w:space="0" w:color="auto"/>
      </w:divBdr>
    </w:div>
    <w:div w:id="544831707">
      <w:marLeft w:val="0"/>
      <w:marRight w:val="0"/>
      <w:marTop w:val="0"/>
      <w:marBottom w:val="0"/>
      <w:divBdr>
        <w:top w:val="none" w:sz="0" w:space="0" w:color="auto"/>
        <w:left w:val="none" w:sz="0" w:space="0" w:color="auto"/>
        <w:bottom w:val="none" w:sz="0" w:space="0" w:color="auto"/>
        <w:right w:val="none" w:sz="0" w:space="0" w:color="auto"/>
      </w:divBdr>
    </w:div>
    <w:div w:id="544831708">
      <w:marLeft w:val="0"/>
      <w:marRight w:val="0"/>
      <w:marTop w:val="0"/>
      <w:marBottom w:val="0"/>
      <w:divBdr>
        <w:top w:val="none" w:sz="0" w:space="0" w:color="auto"/>
        <w:left w:val="none" w:sz="0" w:space="0" w:color="auto"/>
        <w:bottom w:val="none" w:sz="0" w:space="0" w:color="auto"/>
        <w:right w:val="none" w:sz="0" w:space="0" w:color="auto"/>
      </w:divBdr>
    </w:div>
    <w:div w:id="544831709">
      <w:marLeft w:val="0"/>
      <w:marRight w:val="0"/>
      <w:marTop w:val="0"/>
      <w:marBottom w:val="0"/>
      <w:divBdr>
        <w:top w:val="none" w:sz="0" w:space="0" w:color="auto"/>
        <w:left w:val="none" w:sz="0" w:space="0" w:color="auto"/>
        <w:bottom w:val="none" w:sz="0" w:space="0" w:color="auto"/>
        <w:right w:val="none" w:sz="0" w:space="0" w:color="auto"/>
      </w:divBdr>
    </w:div>
    <w:div w:id="544831710">
      <w:marLeft w:val="0"/>
      <w:marRight w:val="0"/>
      <w:marTop w:val="0"/>
      <w:marBottom w:val="0"/>
      <w:divBdr>
        <w:top w:val="none" w:sz="0" w:space="0" w:color="auto"/>
        <w:left w:val="none" w:sz="0" w:space="0" w:color="auto"/>
        <w:bottom w:val="none" w:sz="0" w:space="0" w:color="auto"/>
        <w:right w:val="none" w:sz="0" w:space="0" w:color="auto"/>
      </w:divBdr>
    </w:div>
    <w:div w:id="544831711">
      <w:marLeft w:val="0"/>
      <w:marRight w:val="0"/>
      <w:marTop w:val="0"/>
      <w:marBottom w:val="0"/>
      <w:divBdr>
        <w:top w:val="none" w:sz="0" w:space="0" w:color="auto"/>
        <w:left w:val="none" w:sz="0" w:space="0" w:color="auto"/>
        <w:bottom w:val="none" w:sz="0" w:space="0" w:color="auto"/>
        <w:right w:val="none" w:sz="0" w:space="0" w:color="auto"/>
      </w:divBdr>
    </w:div>
    <w:div w:id="5448317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8</Pages>
  <Words>2885</Words>
  <Characters>15580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JURÍDICO</dc:title>
  <dc:subject/>
  <dc:creator>Thiago M. Genro Schneider</dc:creator>
  <cp:keywords/>
  <dc:description/>
  <cp:lastModifiedBy>jefferson</cp:lastModifiedBy>
  <cp:revision>4</cp:revision>
  <cp:lastPrinted>2017-05-29T15:08:00Z</cp:lastPrinted>
  <dcterms:created xsi:type="dcterms:W3CDTF">2017-06-01T15:41:00Z</dcterms:created>
  <dcterms:modified xsi:type="dcterms:W3CDTF">2017-06-01T16:58:00Z</dcterms:modified>
</cp:coreProperties>
</file>